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0170072" w14:textId="77777777" w:rsidR="00614CC5" w:rsidRDefault="00000000">
      <w:pPr>
        <w:spacing w:before="1500"/>
        <w:jc w:val="center"/>
      </w:pPr>
      <w:r>
        <w:rPr>
          <w:b/>
          <w:bCs/>
          <w:color w:val="1F3864"/>
          <w:sz w:val="44"/>
          <w:szCs w:val="44"/>
        </w:rPr>
        <w:t>INFORMATION RISK</w:t>
      </w:r>
    </w:p>
    <w:p w14:paraId="6D790042" w14:textId="77777777" w:rsidR="00614CC5" w:rsidRDefault="00000000">
      <w:pPr>
        <w:jc w:val="center"/>
      </w:pPr>
      <w:r>
        <w:rPr>
          <w:b/>
          <w:bCs/>
          <w:color w:val="1F3864"/>
          <w:sz w:val="44"/>
          <w:szCs w:val="44"/>
        </w:rPr>
        <w:t>MANAGEMENT PLAN</w:t>
      </w:r>
    </w:p>
    <w:p w14:paraId="560BE4ED" w14:textId="77777777" w:rsidR="00614CC5" w:rsidRDefault="00000000">
      <w:pPr>
        <w:spacing w:before="120"/>
        <w:jc w:val="center"/>
      </w:pPr>
      <w:r>
        <w:rPr>
          <w:color w:val="2E75B6"/>
          <w:sz w:val="24"/>
          <w:szCs w:val="24"/>
        </w:rPr>
        <w:t>Practical Work 3 — Final Capstone Project</w:t>
      </w:r>
    </w:p>
    <w:p w14:paraId="215A492B" w14:textId="77777777" w:rsidR="00614CC5" w:rsidRDefault="00000000">
      <w:pPr>
        <w:spacing w:before="40"/>
        <w:jc w:val="center"/>
      </w:pPr>
      <w:r>
        <w:rPr>
          <w:color w:val="6B6B6B"/>
          <w:sz w:val="19"/>
          <w:szCs w:val="19"/>
        </w:rPr>
        <w:t>Case study modeled on a large enterprise technology corporation</w:t>
      </w:r>
    </w:p>
    <w:p w14:paraId="1FB5ADC5" w14:textId="4544D460" w:rsidR="00614CC5" w:rsidRDefault="00000000">
      <w:pPr>
        <w:spacing w:before="500"/>
        <w:jc w:val="center"/>
      </w:pPr>
      <w:r>
        <w:rPr>
          <w:sz w:val="22"/>
          <w:szCs w:val="22"/>
        </w:rPr>
        <w:t xml:space="preserve">Prepared by: </w:t>
      </w:r>
      <w:r w:rsidR="00515365">
        <w:rPr>
          <w:sz w:val="22"/>
          <w:szCs w:val="22"/>
        </w:rPr>
        <w:t>Nishan Singh</w:t>
      </w:r>
    </w:p>
    <w:p w14:paraId="17D82C6B" w14:textId="27D552FF" w:rsidR="00614CC5" w:rsidRDefault="00000000">
      <w:pPr>
        <w:spacing w:before="100"/>
        <w:jc w:val="center"/>
      </w:pPr>
      <w:r>
        <w:rPr>
          <w:sz w:val="20"/>
          <w:szCs w:val="20"/>
        </w:rPr>
        <w:t xml:space="preserve">Course / Instructor: </w:t>
      </w:r>
      <w:r w:rsidR="00515365">
        <w:rPr>
          <w:sz w:val="20"/>
          <w:szCs w:val="20"/>
        </w:rPr>
        <w:t xml:space="preserve">Khushboo </w:t>
      </w:r>
      <w:proofErr w:type="spellStart"/>
      <w:r w:rsidR="00515365">
        <w:rPr>
          <w:sz w:val="20"/>
          <w:szCs w:val="20"/>
        </w:rPr>
        <w:t>Pachori</w:t>
      </w:r>
      <w:proofErr w:type="spellEnd"/>
      <w:r>
        <w:rPr>
          <w:sz w:val="20"/>
          <w:szCs w:val="20"/>
        </w:rPr>
        <w:t xml:space="preserve">     Date: </w:t>
      </w:r>
      <w:r w:rsidR="00515365">
        <w:rPr>
          <w:sz w:val="20"/>
          <w:szCs w:val="20"/>
        </w:rPr>
        <w:t>07/23/26</w:t>
      </w:r>
    </w:p>
    <w:p w14:paraId="5B2CD425" w14:textId="77777777" w:rsidR="00614CC5" w:rsidRDefault="00000000">
      <w:pPr>
        <w:spacing w:before="100"/>
        <w:jc w:val="center"/>
      </w:pPr>
      <w:r>
        <w:rPr>
          <w:color w:val="6B6B6B"/>
          <w:sz w:val="18"/>
          <w:szCs w:val="18"/>
        </w:rPr>
        <w:t>Classification: Confidential — Internal Use     Version 1.0</w:t>
      </w:r>
    </w:p>
    <w:p w14:paraId="61D37006" w14:textId="77777777" w:rsidR="00614CC5" w:rsidRDefault="00000000">
      <w:pPr>
        <w:shd w:val="clear" w:color="auto" w:fill="FCE4A6"/>
        <w:spacing w:before="440"/>
        <w:jc w:val="center"/>
      </w:pPr>
      <w:r>
        <w:rPr>
          <w:b/>
          <w:bCs/>
          <w:sz w:val="17"/>
          <w:szCs w:val="17"/>
        </w:rPr>
        <w:t xml:space="preserve">  Academic exercise — modeled on a large enterprise; illustrative fictional data.  </w:t>
      </w:r>
    </w:p>
    <w:p w14:paraId="077D7531" w14:textId="77777777" w:rsidR="00614CC5" w:rsidRDefault="00000000">
      <w:r>
        <w:br w:type="page"/>
      </w:r>
    </w:p>
    <w:p w14:paraId="73059890" w14:textId="77777777" w:rsidR="00614CC5" w:rsidRDefault="00000000">
      <w:pPr>
        <w:pStyle w:val="Heading1"/>
      </w:pPr>
      <w:bookmarkStart w:id="0" w:name="_Toc235738909"/>
      <w:r>
        <w:lastRenderedPageBreak/>
        <w:t>Contents</w:t>
      </w:r>
      <w:bookmarkEnd w:id="0"/>
    </w:p>
    <w:sdt>
      <w:sdtPr>
        <w:alias w:val="Contents"/>
        <w:id w:val="-619454631"/>
      </w:sdtPr>
      <w:sdtContent>
        <w:p w14:paraId="38BABC42" w14:textId="77777777" w:rsidR="00515365" w:rsidRDefault="00000000">
          <w:pPr>
            <w:pStyle w:val="TOC1"/>
            <w:tabs>
              <w:tab w:val="right" w:leader="dot" w:pos="9350"/>
            </w:tabs>
            <w:rPr>
              <w:noProof/>
            </w:rPr>
          </w:pPr>
          <w:r>
            <w:fldChar w:fldCharType="begin"/>
          </w:r>
          <w:r>
            <w:instrText>TOC \h \o "1-1"</w:instrText>
          </w:r>
          <w:r>
            <w:fldChar w:fldCharType="separate"/>
          </w:r>
          <w:hyperlink w:anchor="_Toc235738909" w:history="1">
            <w:r w:rsidR="00515365" w:rsidRPr="00BB7EB8">
              <w:rPr>
                <w:rStyle w:val="Hyperlink"/>
                <w:noProof/>
              </w:rPr>
              <w:t>Contents</w:t>
            </w:r>
            <w:r w:rsidR="00515365">
              <w:rPr>
                <w:noProof/>
              </w:rPr>
              <w:tab/>
            </w:r>
            <w:r w:rsidR="00515365">
              <w:rPr>
                <w:noProof/>
              </w:rPr>
              <w:fldChar w:fldCharType="begin"/>
            </w:r>
            <w:r w:rsidR="00515365">
              <w:rPr>
                <w:noProof/>
              </w:rPr>
              <w:instrText xml:space="preserve"> PAGEREF _Toc235738909 \h </w:instrText>
            </w:r>
            <w:r w:rsidR="00515365">
              <w:rPr>
                <w:noProof/>
              </w:rPr>
            </w:r>
            <w:r w:rsidR="00515365">
              <w:rPr>
                <w:noProof/>
              </w:rPr>
              <w:fldChar w:fldCharType="separate"/>
            </w:r>
            <w:r w:rsidR="00515365">
              <w:rPr>
                <w:noProof/>
              </w:rPr>
              <w:t>2</w:t>
            </w:r>
            <w:r w:rsidR="00515365">
              <w:rPr>
                <w:noProof/>
              </w:rPr>
              <w:fldChar w:fldCharType="end"/>
            </w:r>
          </w:hyperlink>
        </w:p>
        <w:p w14:paraId="6ED4F1B0" w14:textId="77777777" w:rsidR="00515365" w:rsidRDefault="00515365">
          <w:pPr>
            <w:pStyle w:val="TOC1"/>
            <w:tabs>
              <w:tab w:val="right" w:leader="dot" w:pos="9350"/>
            </w:tabs>
            <w:rPr>
              <w:noProof/>
            </w:rPr>
          </w:pPr>
          <w:hyperlink w:anchor="_Toc235738910" w:history="1">
            <w:r w:rsidRPr="00BB7EB8">
              <w:rPr>
                <w:rStyle w:val="Hyperlink"/>
                <w:noProof/>
              </w:rPr>
              <w:t>Executive Summary</w:t>
            </w:r>
            <w:r>
              <w:rPr>
                <w:noProof/>
              </w:rPr>
              <w:tab/>
            </w:r>
            <w:r>
              <w:rPr>
                <w:noProof/>
              </w:rPr>
              <w:fldChar w:fldCharType="begin"/>
            </w:r>
            <w:r>
              <w:rPr>
                <w:noProof/>
              </w:rPr>
              <w:instrText xml:space="preserve"> PAGEREF _Toc235738910 \h </w:instrText>
            </w:r>
            <w:r>
              <w:rPr>
                <w:noProof/>
              </w:rPr>
            </w:r>
            <w:r>
              <w:rPr>
                <w:noProof/>
              </w:rPr>
              <w:fldChar w:fldCharType="separate"/>
            </w:r>
            <w:r>
              <w:rPr>
                <w:noProof/>
              </w:rPr>
              <w:t>3</w:t>
            </w:r>
            <w:r>
              <w:rPr>
                <w:noProof/>
              </w:rPr>
              <w:fldChar w:fldCharType="end"/>
            </w:r>
          </w:hyperlink>
        </w:p>
        <w:p w14:paraId="7A48D23D" w14:textId="77777777" w:rsidR="00515365" w:rsidRDefault="00515365">
          <w:pPr>
            <w:pStyle w:val="TOC1"/>
            <w:tabs>
              <w:tab w:val="right" w:leader="dot" w:pos="9350"/>
            </w:tabs>
            <w:rPr>
              <w:noProof/>
            </w:rPr>
          </w:pPr>
          <w:hyperlink w:anchor="_Toc235738911" w:history="1">
            <w:r w:rsidRPr="00BB7EB8">
              <w:rPr>
                <w:rStyle w:val="Hyperlink"/>
                <w:noProof/>
              </w:rPr>
              <w:t>1. Introduction &amp; Methodology</w:t>
            </w:r>
            <w:r>
              <w:rPr>
                <w:noProof/>
              </w:rPr>
              <w:tab/>
            </w:r>
            <w:r>
              <w:rPr>
                <w:noProof/>
              </w:rPr>
              <w:fldChar w:fldCharType="begin"/>
            </w:r>
            <w:r>
              <w:rPr>
                <w:noProof/>
              </w:rPr>
              <w:instrText xml:space="preserve"> PAGEREF _Toc235738911 \h </w:instrText>
            </w:r>
            <w:r>
              <w:rPr>
                <w:noProof/>
              </w:rPr>
            </w:r>
            <w:r>
              <w:rPr>
                <w:noProof/>
              </w:rPr>
              <w:fldChar w:fldCharType="separate"/>
            </w:r>
            <w:r>
              <w:rPr>
                <w:noProof/>
              </w:rPr>
              <w:t>4</w:t>
            </w:r>
            <w:r>
              <w:rPr>
                <w:noProof/>
              </w:rPr>
              <w:fldChar w:fldCharType="end"/>
            </w:r>
          </w:hyperlink>
        </w:p>
        <w:p w14:paraId="56B65E2D" w14:textId="77777777" w:rsidR="00515365" w:rsidRDefault="00515365">
          <w:pPr>
            <w:pStyle w:val="TOC1"/>
            <w:tabs>
              <w:tab w:val="right" w:leader="dot" w:pos="9350"/>
            </w:tabs>
            <w:rPr>
              <w:noProof/>
            </w:rPr>
          </w:pPr>
          <w:hyperlink w:anchor="_Toc235738912" w:history="1">
            <w:r w:rsidRPr="00BB7EB8">
              <w:rPr>
                <w:rStyle w:val="Hyperlink"/>
                <w:noProof/>
              </w:rPr>
              <w:t>2. Part 1 — Asset Inventory &amp; Categorization</w:t>
            </w:r>
            <w:r>
              <w:rPr>
                <w:noProof/>
              </w:rPr>
              <w:tab/>
            </w:r>
            <w:r>
              <w:rPr>
                <w:noProof/>
              </w:rPr>
              <w:fldChar w:fldCharType="begin"/>
            </w:r>
            <w:r>
              <w:rPr>
                <w:noProof/>
              </w:rPr>
              <w:instrText xml:space="preserve"> PAGEREF _Toc235738912 \h </w:instrText>
            </w:r>
            <w:r>
              <w:rPr>
                <w:noProof/>
              </w:rPr>
            </w:r>
            <w:r>
              <w:rPr>
                <w:noProof/>
              </w:rPr>
              <w:fldChar w:fldCharType="separate"/>
            </w:r>
            <w:r>
              <w:rPr>
                <w:noProof/>
              </w:rPr>
              <w:t>4</w:t>
            </w:r>
            <w:r>
              <w:rPr>
                <w:noProof/>
              </w:rPr>
              <w:fldChar w:fldCharType="end"/>
            </w:r>
          </w:hyperlink>
        </w:p>
        <w:p w14:paraId="2D47D378" w14:textId="77777777" w:rsidR="00515365" w:rsidRDefault="00515365">
          <w:pPr>
            <w:pStyle w:val="TOC1"/>
            <w:tabs>
              <w:tab w:val="right" w:leader="dot" w:pos="9350"/>
            </w:tabs>
            <w:rPr>
              <w:noProof/>
            </w:rPr>
          </w:pPr>
          <w:hyperlink w:anchor="_Toc235738913" w:history="1">
            <w:r w:rsidRPr="00BB7EB8">
              <w:rPr>
                <w:rStyle w:val="Hyperlink"/>
                <w:noProof/>
              </w:rPr>
              <w:t>3. Part 2 — Risk Assessment</w:t>
            </w:r>
            <w:r>
              <w:rPr>
                <w:noProof/>
              </w:rPr>
              <w:tab/>
            </w:r>
            <w:r>
              <w:rPr>
                <w:noProof/>
              </w:rPr>
              <w:fldChar w:fldCharType="begin"/>
            </w:r>
            <w:r>
              <w:rPr>
                <w:noProof/>
              </w:rPr>
              <w:instrText xml:space="preserve"> PAGEREF _Toc235738913 \h </w:instrText>
            </w:r>
            <w:r>
              <w:rPr>
                <w:noProof/>
              </w:rPr>
            </w:r>
            <w:r>
              <w:rPr>
                <w:noProof/>
              </w:rPr>
              <w:fldChar w:fldCharType="separate"/>
            </w:r>
            <w:r>
              <w:rPr>
                <w:noProof/>
              </w:rPr>
              <w:t>6</w:t>
            </w:r>
            <w:r>
              <w:rPr>
                <w:noProof/>
              </w:rPr>
              <w:fldChar w:fldCharType="end"/>
            </w:r>
          </w:hyperlink>
        </w:p>
        <w:p w14:paraId="37886462" w14:textId="77777777" w:rsidR="00515365" w:rsidRDefault="00515365">
          <w:pPr>
            <w:pStyle w:val="TOC1"/>
            <w:tabs>
              <w:tab w:val="right" w:leader="dot" w:pos="9350"/>
            </w:tabs>
            <w:rPr>
              <w:noProof/>
            </w:rPr>
          </w:pPr>
          <w:hyperlink w:anchor="_Toc235738914" w:history="1">
            <w:r w:rsidRPr="00BB7EB8">
              <w:rPr>
                <w:rStyle w:val="Hyperlink"/>
                <w:noProof/>
              </w:rPr>
              <w:t>4. Part 3 — Risk Treatment Plan</w:t>
            </w:r>
            <w:r>
              <w:rPr>
                <w:noProof/>
              </w:rPr>
              <w:tab/>
            </w:r>
            <w:r>
              <w:rPr>
                <w:noProof/>
              </w:rPr>
              <w:fldChar w:fldCharType="begin"/>
            </w:r>
            <w:r>
              <w:rPr>
                <w:noProof/>
              </w:rPr>
              <w:instrText xml:space="preserve"> PAGEREF _Toc235738914 \h </w:instrText>
            </w:r>
            <w:r>
              <w:rPr>
                <w:noProof/>
              </w:rPr>
            </w:r>
            <w:r>
              <w:rPr>
                <w:noProof/>
              </w:rPr>
              <w:fldChar w:fldCharType="separate"/>
            </w:r>
            <w:r>
              <w:rPr>
                <w:noProof/>
              </w:rPr>
              <w:t>7</w:t>
            </w:r>
            <w:r>
              <w:rPr>
                <w:noProof/>
              </w:rPr>
              <w:fldChar w:fldCharType="end"/>
            </w:r>
          </w:hyperlink>
        </w:p>
        <w:p w14:paraId="067FC983" w14:textId="77777777" w:rsidR="00515365" w:rsidRDefault="00515365">
          <w:pPr>
            <w:pStyle w:val="TOC1"/>
            <w:tabs>
              <w:tab w:val="right" w:leader="dot" w:pos="9350"/>
            </w:tabs>
            <w:rPr>
              <w:noProof/>
            </w:rPr>
          </w:pPr>
          <w:hyperlink w:anchor="_Toc235738915" w:history="1">
            <w:r w:rsidRPr="00BB7EB8">
              <w:rPr>
                <w:rStyle w:val="Hyperlink"/>
                <w:noProof/>
              </w:rPr>
              <w:t>5. Part 4 — Security Policy &amp; Governance</w:t>
            </w:r>
            <w:r>
              <w:rPr>
                <w:noProof/>
              </w:rPr>
              <w:tab/>
            </w:r>
            <w:r>
              <w:rPr>
                <w:noProof/>
              </w:rPr>
              <w:fldChar w:fldCharType="begin"/>
            </w:r>
            <w:r>
              <w:rPr>
                <w:noProof/>
              </w:rPr>
              <w:instrText xml:space="preserve"> PAGEREF _Toc235738915 \h </w:instrText>
            </w:r>
            <w:r>
              <w:rPr>
                <w:noProof/>
              </w:rPr>
            </w:r>
            <w:r>
              <w:rPr>
                <w:noProof/>
              </w:rPr>
              <w:fldChar w:fldCharType="separate"/>
            </w:r>
            <w:r>
              <w:rPr>
                <w:noProof/>
              </w:rPr>
              <w:t>9</w:t>
            </w:r>
            <w:r>
              <w:rPr>
                <w:noProof/>
              </w:rPr>
              <w:fldChar w:fldCharType="end"/>
            </w:r>
          </w:hyperlink>
        </w:p>
        <w:p w14:paraId="6F626C1F" w14:textId="77777777" w:rsidR="00515365" w:rsidRDefault="00515365">
          <w:pPr>
            <w:pStyle w:val="TOC1"/>
            <w:tabs>
              <w:tab w:val="right" w:leader="dot" w:pos="9350"/>
            </w:tabs>
            <w:rPr>
              <w:noProof/>
            </w:rPr>
          </w:pPr>
          <w:hyperlink w:anchor="_Toc235738916" w:history="1">
            <w:r w:rsidRPr="00BB7EB8">
              <w:rPr>
                <w:rStyle w:val="Hyperlink"/>
                <w:noProof/>
              </w:rPr>
              <w:t>6. Conclusion &amp; Recommendations</w:t>
            </w:r>
            <w:r>
              <w:rPr>
                <w:noProof/>
              </w:rPr>
              <w:tab/>
            </w:r>
            <w:r>
              <w:rPr>
                <w:noProof/>
              </w:rPr>
              <w:fldChar w:fldCharType="begin"/>
            </w:r>
            <w:r>
              <w:rPr>
                <w:noProof/>
              </w:rPr>
              <w:instrText xml:space="preserve"> PAGEREF _Toc235738916 \h </w:instrText>
            </w:r>
            <w:r>
              <w:rPr>
                <w:noProof/>
              </w:rPr>
            </w:r>
            <w:r>
              <w:rPr>
                <w:noProof/>
              </w:rPr>
              <w:fldChar w:fldCharType="separate"/>
            </w:r>
            <w:r>
              <w:rPr>
                <w:noProof/>
              </w:rPr>
              <w:t>10</w:t>
            </w:r>
            <w:r>
              <w:rPr>
                <w:noProof/>
              </w:rPr>
              <w:fldChar w:fldCharType="end"/>
            </w:r>
          </w:hyperlink>
        </w:p>
        <w:p w14:paraId="2DDAD0AE" w14:textId="77777777" w:rsidR="00515365" w:rsidRDefault="00515365">
          <w:pPr>
            <w:pStyle w:val="TOC1"/>
            <w:tabs>
              <w:tab w:val="right" w:leader="dot" w:pos="9350"/>
            </w:tabs>
            <w:rPr>
              <w:noProof/>
            </w:rPr>
          </w:pPr>
          <w:hyperlink w:anchor="_Toc235738917" w:history="1">
            <w:r w:rsidRPr="00BB7EB8">
              <w:rPr>
                <w:rStyle w:val="Hyperlink"/>
                <w:noProof/>
              </w:rPr>
              <w:t>References</w:t>
            </w:r>
            <w:r>
              <w:rPr>
                <w:noProof/>
              </w:rPr>
              <w:tab/>
            </w:r>
            <w:r>
              <w:rPr>
                <w:noProof/>
              </w:rPr>
              <w:fldChar w:fldCharType="begin"/>
            </w:r>
            <w:r>
              <w:rPr>
                <w:noProof/>
              </w:rPr>
              <w:instrText xml:space="preserve"> PAGEREF _Toc235738917 \h </w:instrText>
            </w:r>
            <w:r>
              <w:rPr>
                <w:noProof/>
              </w:rPr>
            </w:r>
            <w:r>
              <w:rPr>
                <w:noProof/>
              </w:rPr>
              <w:fldChar w:fldCharType="separate"/>
            </w:r>
            <w:r>
              <w:rPr>
                <w:noProof/>
              </w:rPr>
              <w:t>10</w:t>
            </w:r>
            <w:r>
              <w:rPr>
                <w:noProof/>
              </w:rPr>
              <w:fldChar w:fldCharType="end"/>
            </w:r>
          </w:hyperlink>
        </w:p>
        <w:p w14:paraId="3E8480F2" w14:textId="77777777" w:rsidR="00614CC5" w:rsidRDefault="00000000">
          <w:r>
            <w:fldChar w:fldCharType="end"/>
          </w:r>
        </w:p>
      </w:sdtContent>
    </w:sdt>
    <w:p w14:paraId="7C53A6AB" w14:textId="77777777" w:rsidR="00614CC5" w:rsidRDefault="00000000">
      <w:r>
        <w:br w:type="page"/>
      </w:r>
    </w:p>
    <w:p w14:paraId="302DD766" w14:textId="77777777" w:rsidR="00614CC5" w:rsidRDefault="00000000">
      <w:pPr>
        <w:pStyle w:val="Heading1"/>
      </w:pPr>
      <w:bookmarkStart w:id="1" w:name="_Toc235738910"/>
      <w:r>
        <w:lastRenderedPageBreak/>
        <w:t>Executive Summary</w:t>
      </w:r>
      <w:bookmarkEnd w:id="1"/>
    </w:p>
    <w:p w14:paraId="69AD1F78" w14:textId="77777777" w:rsidR="00614CC5" w:rsidRDefault="00000000">
      <w:pPr>
        <w:spacing w:after="120" w:line="288" w:lineRule="auto"/>
        <w:jc w:val="both"/>
      </w:pPr>
      <w:r>
        <w:t>This Risk Management Plan applies the full risk-management cycle to a large enterprise technology corporation. The organization operates enterprise HR systems, proprietary AI research environments, cloud services, and a fleet of corporate endpoints used by HR, Finance, and Software Development staff. At this scale, a single security failure can expose sensitive employee data, compromise valuable intellectual property, and cross multiple legal jurisdictions.</w:t>
      </w:r>
    </w:p>
    <w:p w14:paraId="319D405F" w14:textId="77777777" w:rsidR="00614CC5" w:rsidRDefault="00000000">
      <w:pPr>
        <w:spacing w:after="120" w:line="288" w:lineRule="auto"/>
        <w:jc w:val="both"/>
      </w:pPr>
      <w:r>
        <w:t xml:space="preserve">Using the </w:t>
      </w:r>
      <w:r>
        <w:rPr>
          <w:b/>
          <w:bCs/>
        </w:rPr>
        <w:t>ISO/IEC 27005</w:t>
      </w:r>
      <w:r>
        <w:t xml:space="preserve"> risk process supported by </w:t>
      </w:r>
      <w:r>
        <w:rPr>
          <w:b/>
          <w:bCs/>
        </w:rPr>
        <w:t>NIST SP 800-30</w:t>
      </w:r>
      <w:r>
        <w:t xml:space="preserve">, this plan inventories six critical assets, rates each against the </w:t>
      </w:r>
      <w:r>
        <w:rPr>
          <w:b/>
          <w:bCs/>
        </w:rPr>
        <w:t>CIA triad</w:t>
      </w:r>
      <w:r>
        <w:t xml:space="preserve">, and assesses the major risks in a scored risk register. The most serious are </w:t>
      </w:r>
      <w:r>
        <w:rPr>
          <w:b/>
          <w:bCs/>
        </w:rPr>
        <w:t>ransomware / credential compromise on core systems</w:t>
      </w:r>
      <w:r>
        <w:t xml:space="preserve">, </w:t>
      </w:r>
      <w:r>
        <w:rPr>
          <w:b/>
          <w:bCs/>
        </w:rPr>
        <w:t>endpoint phishing and malware</w:t>
      </w:r>
      <w:r>
        <w:t xml:space="preserve">, </w:t>
      </w:r>
      <w:r>
        <w:rPr>
          <w:b/>
          <w:bCs/>
        </w:rPr>
        <w:t>ransomware reaching backups</w:t>
      </w:r>
      <w:r>
        <w:t xml:space="preserve">, and </w:t>
      </w:r>
      <w:r>
        <w:rPr>
          <w:b/>
          <w:bCs/>
        </w:rPr>
        <w:t>insider misuse or corporate espionage against AI research data</w:t>
      </w:r>
      <w:r>
        <w:t xml:space="preserve">. Before treatment, overall exposure is </w:t>
      </w:r>
      <w:r>
        <w:rPr>
          <w:b/>
          <w:bCs/>
        </w:rPr>
        <w:t>High</w:t>
      </w:r>
      <w:r>
        <w:t>.</w:t>
      </w:r>
    </w:p>
    <w:p w14:paraId="78BB4710" w14:textId="77777777" w:rsidR="00614CC5" w:rsidRDefault="00000000">
      <w:pPr>
        <w:spacing w:after="120" w:line="288" w:lineRule="auto"/>
        <w:jc w:val="both"/>
      </w:pPr>
      <w:r>
        <w:t xml:space="preserve">The plan recommends layered preventive, detective, and corrective controls — mandatory MFA/SSO, RBAC, automated patching, full-disk encryption, immutable offline backups, network segmentation, SIEM/EDR monitoring, and data-loss prevention — mapped to </w:t>
      </w:r>
      <w:r>
        <w:rPr>
          <w:b/>
          <w:bCs/>
        </w:rPr>
        <w:t>ISO/IEC 27001/27002/27005, NIST CSF, NIST SP 800-53, and the CIS Controls</w:t>
      </w:r>
      <w:r>
        <w:t xml:space="preserve">. Governance is CISO-led, with compliance to </w:t>
      </w:r>
      <w:r>
        <w:rPr>
          <w:b/>
          <w:bCs/>
        </w:rPr>
        <w:t>PIPEDA</w:t>
      </w:r>
      <w:r>
        <w:t xml:space="preserve"> and </w:t>
      </w:r>
      <w:r>
        <w:rPr>
          <w:b/>
          <w:bCs/>
        </w:rPr>
        <w:t>FOIPPA/FIPPA</w:t>
      </w:r>
      <w:r>
        <w:t xml:space="preserve">. After treatment, residual risk falls to </w:t>
      </w:r>
      <w:r>
        <w:rPr>
          <w:b/>
          <w:bCs/>
        </w:rPr>
        <w:t>Low–Medium</w:t>
      </w:r>
      <w:r>
        <w:t>.</w:t>
      </w:r>
    </w:p>
    <w:p w14:paraId="43A226C0" w14:textId="77777777" w:rsidR="00614CC5" w:rsidRDefault="00000000">
      <w:r>
        <w:br w:type="page"/>
      </w:r>
    </w:p>
    <w:p w14:paraId="3EB569D8" w14:textId="77777777" w:rsidR="00614CC5" w:rsidRDefault="00000000">
      <w:pPr>
        <w:pStyle w:val="Heading1"/>
      </w:pPr>
      <w:bookmarkStart w:id="2" w:name="_Toc235738911"/>
      <w:r>
        <w:lastRenderedPageBreak/>
        <w:t>1. Introduction &amp; Methodology</w:t>
      </w:r>
      <w:bookmarkEnd w:id="2"/>
    </w:p>
    <w:p w14:paraId="50AA51FE" w14:textId="77777777" w:rsidR="00614CC5" w:rsidRDefault="00000000">
      <w:pPr>
        <w:pStyle w:val="Heading2"/>
      </w:pPr>
      <w:r>
        <w:t>1.1 Organization and scope</w:t>
      </w:r>
    </w:p>
    <w:p w14:paraId="311864E7" w14:textId="77777777" w:rsidR="00614CC5" w:rsidRDefault="00000000">
      <w:pPr>
        <w:spacing w:after="120" w:line="288" w:lineRule="auto"/>
        <w:jc w:val="both"/>
      </w:pPr>
      <w:r>
        <w:t>The case study is modeled on a large enterprise technology corporation with global operations. Scope covers the organization’s core information assets: employee master records, the enterprise HR system, AI research data, and the corporate endpoints used by HR, Finance, and Software Development. The goal is to identify, assess, and treat information-security risks to these assets and establish governance to manage them over time.</w:t>
      </w:r>
    </w:p>
    <w:p w14:paraId="0FE3AD6A" w14:textId="77777777" w:rsidR="00614CC5" w:rsidRDefault="00000000">
      <w:pPr>
        <w:pStyle w:val="Heading2"/>
      </w:pPr>
      <w:r>
        <w:t>1.2 Methodology and scoring</w:t>
      </w:r>
    </w:p>
    <w:p w14:paraId="2C807787" w14:textId="77777777" w:rsidR="00614CC5" w:rsidRDefault="00000000">
      <w:pPr>
        <w:spacing w:after="120" w:line="288" w:lineRule="auto"/>
        <w:jc w:val="both"/>
      </w:pPr>
      <w:r>
        <w:t xml:space="preserve">This plan follows the </w:t>
      </w:r>
      <w:r>
        <w:rPr>
          <w:b/>
          <w:bCs/>
        </w:rPr>
        <w:t>ISO/IEC 27005</w:t>
      </w:r>
      <w:r>
        <w:t xml:space="preserve"> process (context, identify, analyse, evaluate, treat), supported by </w:t>
      </w:r>
      <w:r>
        <w:rPr>
          <w:b/>
          <w:bCs/>
        </w:rPr>
        <w:t>NIST SP 800-30</w:t>
      </w:r>
      <w:r>
        <w:t xml:space="preserve">. Risk is scored as </w:t>
      </w:r>
      <w:r>
        <w:rPr>
          <w:b/>
          <w:bCs/>
        </w:rPr>
        <w:t>Likelihood × Impact</w:t>
      </w:r>
      <w:r>
        <w:t xml:space="preserve"> on a 1–5 scale (e.g., 4 × 5 = 20). Controls come from </w:t>
      </w:r>
      <w:r>
        <w:rPr>
          <w:b/>
          <w:bCs/>
        </w:rPr>
        <w:t>ISO/IEC 27002, NIST SP 800-53, and the CIS Controls</w:t>
      </w:r>
      <w:r>
        <w:t xml:space="preserve">; legal alignment from </w:t>
      </w:r>
      <w:r>
        <w:rPr>
          <w:b/>
          <w:bCs/>
        </w:rPr>
        <w:t>PIPEDA</w:t>
      </w:r>
      <w:r>
        <w:t xml:space="preserve"> and </w:t>
      </w:r>
      <w:r>
        <w:rPr>
          <w:b/>
          <w:bCs/>
        </w:rPr>
        <w:t>FOIPPA/FIPPA</w:t>
      </w:r>
      <w: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614CC5" w14:paraId="12F63680" w14:textId="77777777">
        <w:tblPrEx>
          <w:tblCellMar>
            <w:top w:w="0" w:type="dxa"/>
            <w:bottom w:w="0" w:type="dxa"/>
          </w:tblCellMar>
        </w:tblPrEx>
        <w:trPr>
          <w:tblHeader/>
        </w:trPr>
        <w:tc>
          <w:tcPr>
            <w:tcW w:w="312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57763C79" w14:textId="77777777" w:rsidR="00614CC5" w:rsidRDefault="00000000">
            <w:r>
              <w:rPr>
                <w:b/>
                <w:bCs/>
                <w:color w:val="FFFFFF"/>
                <w:sz w:val="17"/>
                <w:szCs w:val="17"/>
              </w:rPr>
              <w:t>Likelihood (1–5)</w:t>
            </w:r>
          </w:p>
        </w:tc>
        <w:tc>
          <w:tcPr>
            <w:tcW w:w="312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6DFAE444" w14:textId="77777777" w:rsidR="00614CC5" w:rsidRDefault="00000000">
            <w:r>
              <w:rPr>
                <w:b/>
                <w:bCs/>
                <w:color w:val="FFFFFF"/>
                <w:sz w:val="17"/>
                <w:szCs w:val="17"/>
              </w:rPr>
              <w:t>Impact (1–5)</w:t>
            </w:r>
          </w:p>
        </w:tc>
        <w:tc>
          <w:tcPr>
            <w:tcW w:w="312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4D13FDA3" w14:textId="77777777" w:rsidR="00614CC5" w:rsidRDefault="00000000">
            <w:r>
              <w:rPr>
                <w:b/>
                <w:bCs/>
                <w:color w:val="FFFFFF"/>
                <w:sz w:val="17"/>
                <w:szCs w:val="17"/>
              </w:rPr>
              <w:t>Risk band (L×I)</w:t>
            </w:r>
          </w:p>
        </w:tc>
      </w:tr>
      <w:tr w:rsidR="00614CC5" w14:paraId="3B6F85DD" w14:textId="77777777">
        <w:tblPrEx>
          <w:tblCellMar>
            <w:top w:w="0" w:type="dxa"/>
            <w:bottom w:w="0" w:type="dxa"/>
          </w:tblCellMar>
        </w:tblPrEx>
        <w:tc>
          <w:tcPr>
            <w:tcW w:w="312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0A958FA4" w14:textId="77777777" w:rsidR="00614CC5" w:rsidRDefault="00000000">
            <w:r>
              <w:rPr>
                <w:color w:val="222222"/>
                <w:sz w:val="17"/>
                <w:szCs w:val="17"/>
              </w:rPr>
              <w:t>1 Rare / 2 Unlikely</w:t>
            </w:r>
          </w:p>
        </w:tc>
        <w:tc>
          <w:tcPr>
            <w:tcW w:w="312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26B43077" w14:textId="77777777" w:rsidR="00614CC5" w:rsidRDefault="00000000">
            <w:r>
              <w:rPr>
                <w:color w:val="222222"/>
                <w:sz w:val="17"/>
                <w:szCs w:val="17"/>
              </w:rPr>
              <w:t>1–2 Low</w:t>
            </w:r>
          </w:p>
        </w:tc>
        <w:tc>
          <w:tcPr>
            <w:tcW w:w="312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69B40D4F" w14:textId="77777777" w:rsidR="00614CC5" w:rsidRDefault="00000000">
            <w:r>
              <w:rPr>
                <w:color w:val="222222"/>
                <w:sz w:val="17"/>
                <w:szCs w:val="17"/>
              </w:rPr>
              <w:t>1–4 = Low</w:t>
            </w:r>
          </w:p>
        </w:tc>
      </w:tr>
      <w:tr w:rsidR="00614CC5" w14:paraId="297DFFD8" w14:textId="77777777">
        <w:tblPrEx>
          <w:tblCellMar>
            <w:top w:w="0" w:type="dxa"/>
            <w:bottom w:w="0" w:type="dxa"/>
          </w:tblCellMar>
        </w:tblPrEx>
        <w:tc>
          <w:tcPr>
            <w:tcW w:w="312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406F33EB" w14:textId="77777777" w:rsidR="00614CC5" w:rsidRDefault="00000000">
            <w:r>
              <w:rPr>
                <w:color w:val="222222"/>
                <w:sz w:val="17"/>
                <w:szCs w:val="17"/>
              </w:rPr>
              <w:t>3 Possible</w:t>
            </w:r>
          </w:p>
        </w:tc>
        <w:tc>
          <w:tcPr>
            <w:tcW w:w="312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0527A6E6" w14:textId="77777777" w:rsidR="00614CC5" w:rsidRDefault="00000000">
            <w:r>
              <w:rPr>
                <w:color w:val="222222"/>
                <w:sz w:val="17"/>
                <w:szCs w:val="17"/>
              </w:rPr>
              <w:t>3 Moderate</w:t>
            </w:r>
          </w:p>
        </w:tc>
        <w:tc>
          <w:tcPr>
            <w:tcW w:w="312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5D3A87F1" w14:textId="77777777" w:rsidR="00614CC5" w:rsidRDefault="00000000">
            <w:r>
              <w:rPr>
                <w:color w:val="222222"/>
                <w:sz w:val="17"/>
                <w:szCs w:val="17"/>
              </w:rPr>
              <w:t>5–12 = Medium</w:t>
            </w:r>
          </w:p>
        </w:tc>
      </w:tr>
      <w:tr w:rsidR="00614CC5" w14:paraId="304DE3CB" w14:textId="77777777">
        <w:tblPrEx>
          <w:tblCellMar>
            <w:top w:w="0" w:type="dxa"/>
            <w:bottom w:w="0" w:type="dxa"/>
          </w:tblCellMar>
        </w:tblPrEx>
        <w:tc>
          <w:tcPr>
            <w:tcW w:w="312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61CCCC65" w14:textId="77777777" w:rsidR="00614CC5" w:rsidRDefault="00000000">
            <w:r>
              <w:rPr>
                <w:color w:val="222222"/>
                <w:sz w:val="17"/>
                <w:szCs w:val="17"/>
              </w:rPr>
              <w:t>4 Likely / 5 Almost certain</w:t>
            </w:r>
          </w:p>
        </w:tc>
        <w:tc>
          <w:tcPr>
            <w:tcW w:w="312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08CA311C" w14:textId="77777777" w:rsidR="00614CC5" w:rsidRDefault="00000000">
            <w:r>
              <w:rPr>
                <w:color w:val="222222"/>
                <w:sz w:val="17"/>
                <w:szCs w:val="17"/>
              </w:rPr>
              <w:t>4 High / 5 Critical</w:t>
            </w:r>
          </w:p>
        </w:tc>
        <w:tc>
          <w:tcPr>
            <w:tcW w:w="312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4FCAC0A9" w14:textId="77777777" w:rsidR="00614CC5" w:rsidRDefault="00000000">
            <w:r>
              <w:rPr>
                <w:color w:val="222222"/>
                <w:sz w:val="17"/>
                <w:szCs w:val="17"/>
              </w:rPr>
              <w:t>15–25 = High</w:t>
            </w:r>
          </w:p>
        </w:tc>
      </w:tr>
    </w:tbl>
    <w:p w14:paraId="3728B8C4" w14:textId="77777777" w:rsidR="00614CC5" w:rsidRDefault="00000000">
      <w:pPr>
        <w:pStyle w:val="Heading1"/>
      </w:pPr>
      <w:bookmarkStart w:id="3" w:name="_Toc235738912"/>
      <w:r>
        <w:t>2. Part 1 — Asset Inventory &amp; Categorization</w:t>
      </w:r>
      <w:bookmarkEnd w:id="3"/>
    </w:p>
    <w:p w14:paraId="3044FEC3" w14:textId="77777777" w:rsidR="00614CC5" w:rsidRDefault="00000000">
      <w:pPr>
        <w:spacing w:after="120" w:line="288" w:lineRule="auto"/>
        <w:jc w:val="both"/>
      </w:pPr>
      <w:r>
        <w:t>Six key assets were identified across data, applications, and devices. Each is profiled with owner, hosting, and existing controls, then rated against the CIA triad.</w:t>
      </w:r>
    </w:p>
    <w:p w14:paraId="61EE4439" w14:textId="77777777" w:rsidR="00614CC5" w:rsidRDefault="00000000">
      <w:pPr>
        <w:pStyle w:val="Heading2"/>
      </w:pPr>
      <w:r>
        <w:t>2.1 Asset inventory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50"/>
        <w:gridCol w:w="2250"/>
        <w:gridCol w:w="1250"/>
        <w:gridCol w:w="4810"/>
      </w:tblGrid>
      <w:tr w:rsidR="00614CC5" w14:paraId="4F5A7CA2" w14:textId="77777777">
        <w:tblPrEx>
          <w:tblCellMar>
            <w:top w:w="0" w:type="dxa"/>
            <w:bottom w:w="0" w:type="dxa"/>
          </w:tblCellMar>
        </w:tblPrEx>
        <w:trPr>
          <w:tblHeader/>
        </w:trPr>
        <w:tc>
          <w:tcPr>
            <w:tcW w:w="105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0CBC2031" w14:textId="77777777" w:rsidR="00614CC5" w:rsidRDefault="00000000">
            <w:r>
              <w:rPr>
                <w:b/>
                <w:bCs/>
                <w:color w:val="FFFFFF"/>
                <w:sz w:val="17"/>
                <w:szCs w:val="17"/>
              </w:rPr>
              <w:t>ID</w:t>
            </w:r>
          </w:p>
        </w:tc>
        <w:tc>
          <w:tcPr>
            <w:tcW w:w="225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282BB757" w14:textId="77777777" w:rsidR="00614CC5" w:rsidRDefault="00000000">
            <w:r>
              <w:rPr>
                <w:b/>
                <w:bCs/>
                <w:color w:val="FFFFFF"/>
                <w:sz w:val="17"/>
                <w:szCs w:val="17"/>
              </w:rPr>
              <w:t>Asset</w:t>
            </w:r>
          </w:p>
        </w:tc>
        <w:tc>
          <w:tcPr>
            <w:tcW w:w="125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30255FA5" w14:textId="77777777" w:rsidR="00614CC5" w:rsidRDefault="00000000">
            <w:r>
              <w:rPr>
                <w:b/>
                <w:bCs/>
                <w:color w:val="FFFFFF"/>
                <w:sz w:val="17"/>
                <w:szCs w:val="17"/>
              </w:rPr>
              <w:t>Type</w:t>
            </w:r>
          </w:p>
        </w:tc>
        <w:tc>
          <w:tcPr>
            <w:tcW w:w="481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24D30B05" w14:textId="77777777" w:rsidR="00614CC5" w:rsidRDefault="00000000">
            <w:r>
              <w:rPr>
                <w:b/>
                <w:bCs/>
                <w:color w:val="FFFFFF"/>
                <w:sz w:val="17"/>
                <w:szCs w:val="17"/>
              </w:rPr>
              <w:t>Description / owner / hosting</w:t>
            </w:r>
          </w:p>
        </w:tc>
      </w:tr>
      <w:tr w:rsidR="00614CC5" w14:paraId="0120E988" w14:textId="77777777">
        <w:tblPrEx>
          <w:tblCellMar>
            <w:top w:w="0" w:type="dxa"/>
            <w:bottom w:w="0" w:type="dxa"/>
          </w:tblCellMar>
        </w:tblPrEx>
        <w:tc>
          <w:tcPr>
            <w:tcW w:w="105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5D6C2712" w14:textId="77777777" w:rsidR="00614CC5" w:rsidRDefault="00000000">
            <w:r>
              <w:rPr>
                <w:color w:val="222222"/>
                <w:sz w:val="17"/>
                <w:szCs w:val="17"/>
              </w:rPr>
              <w:t>AST-001</w:t>
            </w:r>
          </w:p>
        </w:tc>
        <w:tc>
          <w:tcPr>
            <w:tcW w:w="225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1923BDAD" w14:textId="77777777" w:rsidR="00614CC5" w:rsidRDefault="00000000">
            <w:r>
              <w:rPr>
                <w:color w:val="222222"/>
                <w:sz w:val="17"/>
                <w:szCs w:val="17"/>
              </w:rPr>
              <w:t>Employee Master Records</w:t>
            </w:r>
          </w:p>
        </w:tc>
        <w:tc>
          <w:tcPr>
            <w:tcW w:w="125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0B304B0D" w14:textId="77777777" w:rsidR="00614CC5" w:rsidRDefault="00000000">
            <w:r>
              <w:rPr>
                <w:color w:val="222222"/>
                <w:sz w:val="17"/>
                <w:szCs w:val="17"/>
              </w:rPr>
              <w:t>Data</w:t>
            </w:r>
          </w:p>
        </w:tc>
        <w:tc>
          <w:tcPr>
            <w:tcW w:w="481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56BBE3D9" w14:textId="77777777" w:rsidR="00614CC5" w:rsidRDefault="00000000">
            <w:r>
              <w:rPr>
                <w:color w:val="222222"/>
                <w:sz w:val="17"/>
                <w:szCs w:val="17"/>
              </w:rPr>
              <w:t>Employee data, salaries, contracts, banking. Owner: Director of HR. On-prem SQL Server.</w:t>
            </w:r>
          </w:p>
        </w:tc>
      </w:tr>
      <w:tr w:rsidR="00614CC5" w14:paraId="4684A0B8" w14:textId="77777777">
        <w:tblPrEx>
          <w:tblCellMar>
            <w:top w:w="0" w:type="dxa"/>
            <w:bottom w:w="0" w:type="dxa"/>
          </w:tblCellMar>
        </w:tblPrEx>
        <w:tc>
          <w:tcPr>
            <w:tcW w:w="105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66ABB6E2" w14:textId="77777777" w:rsidR="00614CC5" w:rsidRDefault="00000000">
            <w:r>
              <w:rPr>
                <w:color w:val="222222"/>
                <w:sz w:val="17"/>
                <w:szCs w:val="17"/>
              </w:rPr>
              <w:t>AST-002</w:t>
            </w:r>
          </w:p>
        </w:tc>
        <w:tc>
          <w:tcPr>
            <w:tcW w:w="225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6493E9F2" w14:textId="77777777" w:rsidR="00614CC5" w:rsidRDefault="00000000">
            <w:r>
              <w:rPr>
                <w:color w:val="222222"/>
                <w:sz w:val="17"/>
                <w:szCs w:val="17"/>
              </w:rPr>
              <w:t>Workday HRIS</w:t>
            </w:r>
          </w:p>
        </w:tc>
        <w:tc>
          <w:tcPr>
            <w:tcW w:w="125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1982D929" w14:textId="77777777" w:rsidR="00614CC5" w:rsidRDefault="00000000">
            <w:r>
              <w:rPr>
                <w:color w:val="222222"/>
                <w:sz w:val="17"/>
                <w:szCs w:val="17"/>
              </w:rPr>
              <w:t>Application</w:t>
            </w:r>
          </w:p>
        </w:tc>
        <w:tc>
          <w:tcPr>
            <w:tcW w:w="481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4BD1B11E" w14:textId="77777777" w:rsidR="00614CC5" w:rsidRDefault="00000000">
            <w:r>
              <w:rPr>
                <w:color w:val="222222"/>
                <w:sz w:val="17"/>
                <w:szCs w:val="17"/>
              </w:rPr>
              <w:t>Enterprise HR system for the employee lifecycle. Owner: VP HR. Cloud (SaaS).</w:t>
            </w:r>
          </w:p>
        </w:tc>
      </w:tr>
      <w:tr w:rsidR="00614CC5" w14:paraId="4092AE3F" w14:textId="77777777">
        <w:tblPrEx>
          <w:tblCellMar>
            <w:top w:w="0" w:type="dxa"/>
            <w:bottom w:w="0" w:type="dxa"/>
          </w:tblCellMar>
        </w:tblPrEx>
        <w:tc>
          <w:tcPr>
            <w:tcW w:w="105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69167DFF" w14:textId="77777777" w:rsidR="00614CC5" w:rsidRDefault="00000000">
            <w:r>
              <w:rPr>
                <w:color w:val="222222"/>
                <w:sz w:val="17"/>
                <w:szCs w:val="17"/>
              </w:rPr>
              <w:t>AST-003</w:t>
            </w:r>
          </w:p>
        </w:tc>
        <w:tc>
          <w:tcPr>
            <w:tcW w:w="225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1EEC8099" w14:textId="77777777" w:rsidR="00614CC5" w:rsidRDefault="00000000">
            <w:r>
              <w:rPr>
                <w:color w:val="222222"/>
                <w:sz w:val="17"/>
                <w:szCs w:val="17"/>
              </w:rPr>
              <w:t>HR Coordinator Laptops</w:t>
            </w:r>
          </w:p>
        </w:tc>
        <w:tc>
          <w:tcPr>
            <w:tcW w:w="125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720E22B4" w14:textId="77777777" w:rsidR="00614CC5" w:rsidRDefault="00000000">
            <w:r>
              <w:rPr>
                <w:color w:val="222222"/>
                <w:sz w:val="17"/>
                <w:szCs w:val="17"/>
              </w:rPr>
              <w:t>Device</w:t>
            </w:r>
          </w:p>
        </w:tc>
        <w:tc>
          <w:tcPr>
            <w:tcW w:w="481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23564B47" w14:textId="77777777" w:rsidR="00614CC5" w:rsidRDefault="00000000">
            <w:r>
              <w:rPr>
                <w:color w:val="222222"/>
                <w:sz w:val="17"/>
                <w:szCs w:val="17"/>
              </w:rPr>
              <w:t>Laptops used by HR staff to access the HRIS. Owner: Director of HR.</w:t>
            </w:r>
          </w:p>
        </w:tc>
      </w:tr>
      <w:tr w:rsidR="00614CC5" w14:paraId="732560F1" w14:textId="77777777">
        <w:tblPrEx>
          <w:tblCellMar>
            <w:top w:w="0" w:type="dxa"/>
            <w:bottom w:w="0" w:type="dxa"/>
          </w:tblCellMar>
        </w:tblPrEx>
        <w:tc>
          <w:tcPr>
            <w:tcW w:w="105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56337D5A" w14:textId="77777777" w:rsidR="00614CC5" w:rsidRDefault="00000000">
            <w:r>
              <w:rPr>
                <w:color w:val="222222"/>
                <w:sz w:val="17"/>
                <w:szCs w:val="17"/>
              </w:rPr>
              <w:t>AST-004</w:t>
            </w:r>
          </w:p>
        </w:tc>
        <w:tc>
          <w:tcPr>
            <w:tcW w:w="225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105CD711" w14:textId="77777777" w:rsidR="00614CC5" w:rsidRDefault="00000000">
            <w:r>
              <w:rPr>
                <w:color w:val="222222"/>
                <w:sz w:val="17"/>
                <w:szCs w:val="17"/>
              </w:rPr>
              <w:t>Finance Management Laptops</w:t>
            </w:r>
          </w:p>
        </w:tc>
        <w:tc>
          <w:tcPr>
            <w:tcW w:w="125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54B353D5" w14:textId="77777777" w:rsidR="00614CC5" w:rsidRDefault="00000000">
            <w:r>
              <w:rPr>
                <w:color w:val="222222"/>
                <w:sz w:val="17"/>
                <w:szCs w:val="17"/>
              </w:rPr>
              <w:t>Device</w:t>
            </w:r>
          </w:p>
        </w:tc>
        <w:tc>
          <w:tcPr>
            <w:tcW w:w="481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7EA3F61B" w14:textId="77777777" w:rsidR="00614CC5" w:rsidRDefault="00000000">
            <w:r>
              <w:rPr>
                <w:color w:val="222222"/>
                <w:sz w:val="17"/>
                <w:szCs w:val="17"/>
              </w:rPr>
              <w:t>Laptops used by Finance staff to access the ERP. Owner: Finance Manager.</w:t>
            </w:r>
          </w:p>
        </w:tc>
      </w:tr>
      <w:tr w:rsidR="00614CC5" w14:paraId="7B206831" w14:textId="77777777">
        <w:tblPrEx>
          <w:tblCellMar>
            <w:top w:w="0" w:type="dxa"/>
            <w:bottom w:w="0" w:type="dxa"/>
          </w:tblCellMar>
        </w:tblPrEx>
        <w:tc>
          <w:tcPr>
            <w:tcW w:w="105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7C04F668" w14:textId="77777777" w:rsidR="00614CC5" w:rsidRDefault="00000000">
            <w:r>
              <w:rPr>
                <w:color w:val="222222"/>
                <w:sz w:val="17"/>
                <w:szCs w:val="17"/>
              </w:rPr>
              <w:t>AST-005</w:t>
            </w:r>
          </w:p>
        </w:tc>
        <w:tc>
          <w:tcPr>
            <w:tcW w:w="225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656DF388" w14:textId="77777777" w:rsidR="00614CC5" w:rsidRDefault="00000000">
            <w:r>
              <w:rPr>
                <w:color w:val="222222"/>
                <w:sz w:val="17"/>
                <w:szCs w:val="17"/>
              </w:rPr>
              <w:t>AI Research Data</w:t>
            </w:r>
          </w:p>
        </w:tc>
        <w:tc>
          <w:tcPr>
            <w:tcW w:w="125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46249D12" w14:textId="77777777" w:rsidR="00614CC5" w:rsidRDefault="00000000">
            <w:r>
              <w:rPr>
                <w:color w:val="222222"/>
                <w:sz w:val="17"/>
                <w:szCs w:val="17"/>
              </w:rPr>
              <w:t>Data</w:t>
            </w:r>
          </w:p>
        </w:tc>
        <w:tc>
          <w:tcPr>
            <w:tcW w:w="481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05AA8E44" w14:textId="77777777" w:rsidR="00614CC5" w:rsidRDefault="00000000">
            <w:r>
              <w:rPr>
                <w:color w:val="222222"/>
                <w:sz w:val="17"/>
                <w:szCs w:val="17"/>
              </w:rPr>
              <w:t>Proprietary AI models, algorithms, research. Owner: VP R&amp;D. Cloud (SaaS).</w:t>
            </w:r>
          </w:p>
        </w:tc>
      </w:tr>
      <w:tr w:rsidR="00614CC5" w14:paraId="0D8C200C" w14:textId="77777777">
        <w:tblPrEx>
          <w:tblCellMar>
            <w:top w:w="0" w:type="dxa"/>
            <w:bottom w:w="0" w:type="dxa"/>
          </w:tblCellMar>
        </w:tblPrEx>
        <w:tc>
          <w:tcPr>
            <w:tcW w:w="105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254A276C" w14:textId="77777777" w:rsidR="00614CC5" w:rsidRDefault="00000000">
            <w:r>
              <w:rPr>
                <w:color w:val="222222"/>
                <w:sz w:val="17"/>
                <w:szCs w:val="17"/>
              </w:rPr>
              <w:t>AST-006</w:t>
            </w:r>
          </w:p>
        </w:tc>
        <w:tc>
          <w:tcPr>
            <w:tcW w:w="225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28D72B3C" w14:textId="77777777" w:rsidR="00614CC5" w:rsidRDefault="00000000">
            <w:r>
              <w:rPr>
                <w:color w:val="222222"/>
                <w:sz w:val="17"/>
                <w:szCs w:val="17"/>
              </w:rPr>
              <w:t>Software Developer PCs</w:t>
            </w:r>
          </w:p>
        </w:tc>
        <w:tc>
          <w:tcPr>
            <w:tcW w:w="125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61A25DD5" w14:textId="77777777" w:rsidR="00614CC5" w:rsidRDefault="00000000">
            <w:r>
              <w:rPr>
                <w:color w:val="222222"/>
                <w:sz w:val="17"/>
                <w:szCs w:val="17"/>
              </w:rPr>
              <w:t>Device</w:t>
            </w:r>
          </w:p>
        </w:tc>
        <w:tc>
          <w:tcPr>
            <w:tcW w:w="481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2CF6A7B2" w14:textId="77777777" w:rsidR="00614CC5" w:rsidRDefault="00000000">
            <w:r>
              <w:rPr>
                <w:color w:val="222222"/>
                <w:sz w:val="17"/>
                <w:szCs w:val="17"/>
              </w:rPr>
              <w:t>Workstations holding source code. Owner: Director, Software Development.</w:t>
            </w:r>
          </w:p>
        </w:tc>
      </w:tr>
    </w:tbl>
    <w:p w14:paraId="53B631AB" w14:textId="77777777" w:rsidR="00614CC5" w:rsidRDefault="00000000">
      <w:pPr>
        <w:pStyle w:val="Heading2"/>
      </w:pPr>
      <w:r>
        <w:t>2.2 CIA categorization and justification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50"/>
        <w:gridCol w:w="1998"/>
        <w:gridCol w:w="819"/>
        <w:gridCol w:w="819"/>
        <w:gridCol w:w="820"/>
        <w:gridCol w:w="3854"/>
      </w:tblGrid>
      <w:tr w:rsidR="00614CC5" w14:paraId="654697A8" w14:textId="77777777">
        <w:tblPrEx>
          <w:tblCellMar>
            <w:top w:w="0" w:type="dxa"/>
            <w:bottom w:w="0" w:type="dxa"/>
          </w:tblCellMar>
        </w:tblPrEx>
        <w:trPr>
          <w:tblHeader/>
        </w:trPr>
        <w:tc>
          <w:tcPr>
            <w:tcW w:w="105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0F9C47A3" w14:textId="77777777" w:rsidR="00614CC5" w:rsidRDefault="00000000">
            <w:r>
              <w:rPr>
                <w:b/>
                <w:bCs/>
                <w:color w:val="FFFFFF"/>
                <w:sz w:val="17"/>
                <w:szCs w:val="17"/>
              </w:rPr>
              <w:t>ID</w:t>
            </w:r>
          </w:p>
        </w:tc>
        <w:tc>
          <w:tcPr>
            <w:tcW w:w="200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7974FBDF" w14:textId="77777777" w:rsidR="00614CC5" w:rsidRDefault="00000000">
            <w:r>
              <w:rPr>
                <w:b/>
                <w:bCs/>
                <w:color w:val="FFFFFF"/>
                <w:sz w:val="17"/>
                <w:szCs w:val="17"/>
              </w:rPr>
              <w:t>Asset</w:t>
            </w:r>
          </w:p>
        </w:tc>
        <w:tc>
          <w:tcPr>
            <w:tcW w:w="82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17EF9B0A" w14:textId="77777777" w:rsidR="00614CC5" w:rsidRDefault="00000000">
            <w:r>
              <w:rPr>
                <w:b/>
                <w:bCs/>
                <w:color w:val="FFFFFF"/>
                <w:sz w:val="17"/>
                <w:szCs w:val="17"/>
              </w:rPr>
              <w:t>C</w:t>
            </w:r>
          </w:p>
        </w:tc>
        <w:tc>
          <w:tcPr>
            <w:tcW w:w="82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5E1BA03A" w14:textId="77777777" w:rsidR="00614CC5" w:rsidRDefault="00000000">
            <w:r>
              <w:rPr>
                <w:b/>
                <w:bCs/>
                <w:color w:val="FFFFFF"/>
                <w:sz w:val="17"/>
                <w:szCs w:val="17"/>
              </w:rPr>
              <w:t>I</w:t>
            </w:r>
          </w:p>
        </w:tc>
        <w:tc>
          <w:tcPr>
            <w:tcW w:w="82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64DEC9DA" w14:textId="77777777" w:rsidR="00614CC5" w:rsidRDefault="00000000">
            <w:r>
              <w:rPr>
                <w:b/>
                <w:bCs/>
                <w:color w:val="FFFFFF"/>
                <w:sz w:val="17"/>
                <w:szCs w:val="17"/>
              </w:rPr>
              <w:t>A</w:t>
            </w:r>
          </w:p>
        </w:tc>
        <w:tc>
          <w:tcPr>
            <w:tcW w:w="386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51F2A8E7" w14:textId="77777777" w:rsidR="00614CC5" w:rsidRDefault="00000000">
            <w:r>
              <w:rPr>
                <w:b/>
                <w:bCs/>
                <w:color w:val="FFFFFF"/>
                <w:sz w:val="17"/>
                <w:szCs w:val="17"/>
              </w:rPr>
              <w:t>Justification</w:t>
            </w:r>
          </w:p>
        </w:tc>
      </w:tr>
      <w:tr w:rsidR="00614CC5" w14:paraId="68FA50FE" w14:textId="77777777">
        <w:tblPrEx>
          <w:tblCellMar>
            <w:top w:w="0" w:type="dxa"/>
            <w:bottom w:w="0" w:type="dxa"/>
          </w:tblCellMar>
        </w:tblPrEx>
        <w:tc>
          <w:tcPr>
            <w:tcW w:w="105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6034FDE4" w14:textId="77777777" w:rsidR="00614CC5" w:rsidRDefault="00000000">
            <w:r>
              <w:rPr>
                <w:color w:val="222222"/>
                <w:sz w:val="17"/>
                <w:szCs w:val="17"/>
              </w:rPr>
              <w:t>AST-001</w:t>
            </w:r>
          </w:p>
        </w:tc>
        <w:tc>
          <w:tcPr>
            <w:tcW w:w="200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6BFD0950" w14:textId="77777777" w:rsidR="00614CC5" w:rsidRDefault="00000000">
            <w:r>
              <w:rPr>
                <w:color w:val="222222"/>
                <w:sz w:val="17"/>
                <w:szCs w:val="17"/>
              </w:rPr>
              <w:t>Employee Master Records</w:t>
            </w:r>
          </w:p>
        </w:tc>
        <w:tc>
          <w:tcPr>
            <w:tcW w:w="820" w:type="dxa"/>
            <w:tcBorders>
              <w:top w:val="single" w:sz="1" w:space="0" w:color="C7C7C7"/>
              <w:left w:val="single" w:sz="1" w:space="0" w:color="C7C7C7"/>
              <w:bottom w:val="single" w:sz="1" w:space="0" w:color="C7C7C7"/>
              <w:right w:val="single" w:sz="1" w:space="0" w:color="C7C7C7"/>
            </w:tcBorders>
            <w:shd w:val="clear" w:color="auto" w:fill="F4B7B0"/>
            <w:tcMar>
              <w:top w:w="45" w:type="dxa"/>
              <w:left w:w="80" w:type="dxa"/>
              <w:bottom w:w="45" w:type="dxa"/>
              <w:right w:w="80" w:type="dxa"/>
            </w:tcMar>
          </w:tcPr>
          <w:p w14:paraId="655B3B12" w14:textId="77777777" w:rsidR="00614CC5" w:rsidRDefault="00000000">
            <w:r>
              <w:rPr>
                <w:b/>
                <w:bCs/>
                <w:color w:val="222222"/>
                <w:sz w:val="17"/>
                <w:szCs w:val="17"/>
              </w:rPr>
              <w:t>High</w:t>
            </w:r>
          </w:p>
        </w:tc>
        <w:tc>
          <w:tcPr>
            <w:tcW w:w="820" w:type="dxa"/>
            <w:tcBorders>
              <w:top w:val="single" w:sz="1" w:space="0" w:color="C7C7C7"/>
              <w:left w:val="single" w:sz="1" w:space="0" w:color="C7C7C7"/>
              <w:bottom w:val="single" w:sz="1" w:space="0" w:color="C7C7C7"/>
              <w:right w:val="single" w:sz="1" w:space="0" w:color="C7C7C7"/>
            </w:tcBorders>
            <w:shd w:val="clear" w:color="auto" w:fill="F4B7B0"/>
            <w:tcMar>
              <w:top w:w="45" w:type="dxa"/>
              <w:left w:w="80" w:type="dxa"/>
              <w:bottom w:w="45" w:type="dxa"/>
              <w:right w:w="80" w:type="dxa"/>
            </w:tcMar>
          </w:tcPr>
          <w:p w14:paraId="77F608DD" w14:textId="77777777" w:rsidR="00614CC5" w:rsidRDefault="00000000">
            <w:r>
              <w:rPr>
                <w:b/>
                <w:bCs/>
                <w:color w:val="222222"/>
                <w:sz w:val="17"/>
                <w:szCs w:val="17"/>
              </w:rPr>
              <w:t>High</w:t>
            </w:r>
          </w:p>
        </w:tc>
        <w:tc>
          <w:tcPr>
            <w:tcW w:w="820" w:type="dxa"/>
            <w:tcBorders>
              <w:top w:val="single" w:sz="1" w:space="0" w:color="C7C7C7"/>
              <w:left w:val="single" w:sz="1" w:space="0" w:color="C7C7C7"/>
              <w:bottom w:val="single" w:sz="1" w:space="0" w:color="C7C7C7"/>
              <w:right w:val="single" w:sz="1" w:space="0" w:color="C7C7C7"/>
            </w:tcBorders>
            <w:shd w:val="clear" w:color="auto" w:fill="FCE4A6"/>
            <w:tcMar>
              <w:top w:w="45" w:type="dxa"/>
              <w:left w:w="80" w:type="dxa"/>
              <w:bottom w:w="45" w:type="dxa"/>
              <w:right w:w="80" w:type="dxa"/>
            </w:tcMar>
          </w:tcPr>
          <w:p w14:paraId="34BEF2A2" w14:textId="77777777" w:rsidR="00614CC5" w:rsidRDefault="00000000">
            <w:r>
              <w:rPr>
                <w:b/>
                <w:bCs/>
                <w:color w:val="222222"/>
                <w:sz w:val="17"/>
                <w:szCs w:val="17"/>
              </w:rPr>
              <w:t>Medium</w:t>
            </w:r>
          </w:p>
        </w:tc>
        <w:tc>
          <w:tcPr>
            <w:tcW w:w="386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1C6EFD5B" w14:textId="77777777" w:rsidR="00614CC5" w:rsidRDefault="00000000">
            <w:r>
              <w:rPr>
                <w:color w:val="222222"/>
                <w:sz w:val="17"/>
                <w:szCs w:val="17"/>
              </w:rPr>
              <w:t>C High — leak = identity theft / legal penalties; I High — payroll errors/disputes; A Medium — short delays tolerable.</w:t>
            </w:r>
          </w:p>
        </w:tc>
      </w:tr>
      <w:tr w:rsidR="00614CC5" w14:paraId="3A235DEE" w14:textId="77777777">
        <w:tblPrEx>
          <w:tblCellMar>
            <w:top w:w="0" w:type="dxa"/>
            <w:bottom w:w="0" w:type="dxa"/>
          </w:tblCellMar>
        </w:tblPrEx>
        <w:tc>
          <w:tcPr>
            <w:tcW w:w="105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6601FE4E" w14:textId="77777777" w:rsidR="00614CC5" w:rsidRDefault="00000000">
            <w:r>
              <w:rPr>
                <w:color w:val="222222"/>
                <w:sz w:val="17"/>
                <w:szCs w:val="17"/>
              </w:rPr>
              <w:t>AST-002</w:t>
            </w:r>
          </w:p>
        </w:tc>
        <w:tc>
          <w:tcPr>
            <w:tcW w:w="200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7585F4F6" w14:textId="77777777" w:rsidR="00614CC5" w:rsidRDefault="00000000">
            <w:r>
              <w:rPr>
                <w:color w:val="222222"/>
                <w:sz w:val="17"/>
                <w:szCs w:val="17"/>
              </w:rPr>
              <w:t>Workday HRIS</w:t>
            </w:r>
          </w:p>
        </w:tc>
        <w:tc>
          <w:tcPr>
            <w:tcW w:w="820" w:type="dxa"/>
            <w:tcBorders>
              <w:top w:val="single" w:sz="1" w:space="0" w:color="C7C7C7"/>
              <w:left w:val="single" w:sz="1" w:space="0" w:color="C7C7C7"/>
              <w:bottom w:val="single" w:sz="1" w:space="0" w:color="C7C7C7"/>
              <w:right w:val="single" w:sz="1" w:space="0" w:color="C7C7C7"/>
            </w:tcBorders>
            <w:shd w:val="clear" w:color="auto" w:fill="F4B7B0"/>
            <w:tcMar>
              <w:top w:w="45" w:type="dxa"/>
              <w:left w:w="80" w:type="dxa"/>
              <w:bottom w:w="45" w:type="dxa"/>
              <w:right w:w="80" w:type="dxa"/>
            </w:tcMar>
          </w:tcPr>
          <w:p w14:paraId="2F138086" w14:textId="77777777" w:rsidR="00614CC5" w:rsidRDefault="00000000">
            <w:r>
              <w:rPr>
                <w:b/>
                <w:bCs/>
                <w:color w:val="222222"/>
                <w:sz w:val="17"/>
                <w:szCs w:val="17"/>
              </w:rPr>
              <w:t>High</w:t>
            </w:r>
          </w:p>
        </w:tc>
        <w:tc>
          <w:tcPr>
            <w:tcW w:w="820" w:type="dxa"/>
            <w:tcBorders>
              <w:top w:val="single" w:sz="1" w:space="0" w:color="C7C7C7"/>
              <w:left w:val="single" w:sz="1" w:space="0" w:color="C7C7C7"/>
              <w:bottom w:val="single" w:sz="1" w:space="0" w:color="C7C7C7"/>
              <w:right w:val="single" w:sz="1" w:space="0" w:color="C7C7C7"/>
            </w:tcBorders>
            <w:shd w:val="clear" w:color="auto" w:fill="F4B7B0"/>
            <w:tcMar>
              <w:top w:w="45" w:type="dxa"/>
              <w:left w:w="80" w:type="dxa"/>
              <w:bottom w:w="45" w:type="dxa"/>
              <w:right w:w="80" w:type="dxa"/>
            </w:tcMar>
          </w:tcPr>
          <w:p w14:paraId="1A365199" w14:textId="77777777" w:rsidR="00614CC5" w:rsidRDefault="00000000">
            <w:r>
              <w:rPr>
                <w:b/>
                <w:bCs/>
                <w:color w:val="222222"/>
                <w:sz w:val="17"/>
                <w:szCs w:val="17"/>
              </w:rPr>
              <w:t>High</w:t>
            </w:r>
          </w:p>
        </w:tc>
        <w:tc>
          <w:tcPr>
            <w:tcW w:w="820" w:type="dxa"/>
            <w:tcBorders>
              <w:top w:val="single" w:sz="1" w:space="0" w:color="C7C7C7"/>
              <w:left w:val="single" w:sz="1" w:space="0" w:color="C7C7C7"/>
              <w:bottom w:val="single" w:sz="1" w:space="0" w:color="C7C7C7"/>
              <w:right w:val="single" w:sz="1" w:space="0" w:color="C7C7C7"/>
            </w:tcBorders>
            <w:shd w:val="clear" w:color="auto" w:fill="F4B7B0"/>
            <w:tcMar>
              <w:top w:w="45" w:type="dxa"/>
              <w:left w:w="80" w:type="dxa"/>
              <w:bottom w:w="45" w:type="dxa"/>
              <w:right w:w="80" w:type="dxa"/>
            </w:tcMar>
          </w:tcPr>
          <w:p w14:paraId="30E527E9" w14:textId="77777777" w:rsidR="00614CC5" w:rsidRDefault="00000000">
            <w:r>
              <w:rPr>
                <w:b/>
                <w:bCs/>
                <w:color w:val="222222"/>
                <w:sz w:val="17"/>
                <w:szCs w:val="17"/>
              </w:rPr>
              <w:t>High</w:t>
            </w:r>
          </w:p>
        </w:tc>
        <w:tc>
          <w:tcPr>
            <w:tcW w:w="386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6238DA80" w14:textId="77777777" w:rsidR="00614CC5" w:rsidRDefault="00000000">
            <w:r>
              <w:rPr>
                <w:color w:val="222222"/>
                <w:sz w:val="17"/>
                <w:szCs w:val="17"/>
              </w:rPr>
              <w:t>Central personnel repository; unauthorized change breaks workflows; critical to daily HR operations.</w:t>
            </w:r>
          </w:p>
        </w:tc>
      </w:tr>
      <w:tr w:rsidR="00614CC5" w14:paraId="5E6AAA04" w14:textId="77777777">
        <w:tblPrEx>
          <w:tblCellMar>
            <w:top w:w="0" w:type="dxa"/>
            <w:bottom w:w="0" w:type="dxa"/>
          </w:tblCellMar>
        </w:tblPrEx>
        <w:tc>
          <w:tcPr>
            <w:tcW w:w="105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79D74FD8" w14:textId="77777777" w:rsidR="00614CC5" w:rsidRDefault="00000000">
            <w:r>
              <w:rPr>
                <w:color w:val="222222"/>
                <w:sz w:val="17"/>
                <w:szCs w:val="17"/>
              </w:rPr>
              <w:lastRenderedPageBreak/>
              <w:t>AST-003</w:t>
            </w:r>
          </w:p>
        </w:tc>
        <w:tc>
          <w:tcPr>
            <w:tcW w:w="200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541F103F" w14:textId="77777777" w:rsidR="00614CC5" w:rsidRDefault="00000000">
            <w:r>
              <w:rPr>
                <w:color w:val="222222"/>
                <w:sz w:val="17"/>
                <w:szCs w:val="17"/>
              </w:rPr>
              <w:t>HR Coordinator Laptops</w:t>
            </w:r>
          </w:p>
        </w:tc>
        <w:tc>
          <w:tcPr>
            <w:tcW w:w="820" w:type="dxa"/>
            <w:tcBorders>
              <w:top w:val="single" w:sz="1" w:space="0" w:color="C7C7C7"/>
              <w:left w:val="single" w:sz="1" w:space="0" w:color="C7C7C7"/>
              <w:bottom w:val="single" w:sz="1" w:space="0" w:color="C7C7C7"/>
              <w:right w:val="single" w:sz="1" w:space="0" w:color="C7C7C7"/>
            </w:tcBorders>
            <w:shd w:val="clear" w:color="auto" w:fill="F4B7B0"/>
            <w:tcMar>
              <w:top w:w="45" w:type="dxa"/>
              <w:left w:w="80" w:type="dxa"/>
              <w:bottom w:w="45" w:type="dxa"/>
              <w:right w:w="80" w:type="dxa"/>
            </w:tcMar>
          </w:tcPr>
          <w:p w14:paraId="46BF279D" w14:textId="77777777" w:rsidR="00614CC5" w:rsidRDefault="00000000">
            <w:r>
              <w:rPr>
                <w:b/>
                <w:bCs/>
                <w:color w:val="222222"/>
                <w:sz w:val="17"/>
                <w:szCs w:val="17"/>
              </w:rPr>
              <w:t>High</w:t>
            </w:r>
          </w:p>
        </w:tc>
        <w:tc>
          <w:tcPr>
            <w:tcW w:w="820" w:type="dxa"/>
            <w:tcBorders>
              <w:top w:val="single" w:sz="1" w:space="0" w:color="C7C7C7"/>
              <w:left w:val="single" w:sz="1" w:space="0" w:color="C7C7C7"/>
              <w:bottom w:val="single" w:sz="1" w:space="0" w:color="C7C7C7"/>
              <w:right w:val="single" w:sz="1" w:space="0" w:color="C7C7C7"/>
            </w:tcBorders>
            <w:shd w:val="clear" w:color="auto" w:fill="C6E0B4"/>
            <w:tcMar>
              <w:top w:w="45" w:type="dxa"/>
              <w:left w:w="80" w:type="dxa"/>
              <w:bottom w:w="45" w:type="dxa"/>
              <w:right w:w="80" w:type="dxa"/>
            </w:tcMar>
          </w:tcPr>
          <w:p w14:paraId="2E5F8D00" w14:textId="77777777" w:rsidR="00614CC5" w:rsidRDefault="00000000">
            <w:r>
              <w:rPr>
                <w:b/>
                <w:bCs/>
                <w:color w:val="222222"/>
                <w:sz w:val="17"/>
                <w:szCs w:val="17"/>
              </w:rPr>
              <w:t>Low</w:t>
            </w:r>
          </w:p>
        </w:tc>
        <w:tc>
          <w:tcPr>
            <w:tcW w:w="820" w:type="dxa"/>
            <w:tcBorders>
              <w:top w:val="single" w:sz="1" w:space="0" w:color="C7C7C7"/>
              <w:left w:val="single" w:sz="1" w:space="0" w:color="C7C7C7"/>
              <w:bottom w:val="single" w:sz="1" w:space="0" w:color="C7C7C7"/>
              <w:right w:val="single" w:sz="1" w:space="0" w:color="C7C7C7"/>
            </w:tcBorders>
            <w:shd w:val="clear" w:color="auto" w:fill="FCE4A6"/>
            <w:tcMar>
              <w:top w:w="45" w:type="dxa"/>
              <w:left w:w="80" w:type="dxa"/>
              <w:bottom w:w="45" w:type="dxa"/>
              <w:right w:w="80" w:type="dxa"/>
            </w:tcMar>
          </w:tcPr>
          <w:p w14:paraId="22B1001C" w14:textId="77777777" w:rsidR="00614CC5" w:rsidRDefault="00000000">
            <w:r>
              <w:rPr>
                <w:b/>
                <w:bCs/>
                <w:color w:val="222222"/>
                <w:sz w:val="17"/>
                <w:szCs w:val="17"/>
              </w:rPr>
              <w:t>Medium</w:t>
            </w:r>
          </w:p>
        </w:tc>
        <w:tc>
          <w:tcPr>
            <w:tcW w:w="386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7B5DF41B" w14:textId="77777777" w:rsidR="00614CC5" w:rsidRDefault="00000000">
            <w:r>
              <w:rPr>
                <w:color w:val="222222"/>
                <w:sz w:val="17"/>
                <w:szCs w:val="17"/>
              </w:rPr>
              <w:t>C High if lost without encryption; I Low (source data in cloud); A Medium (single-user disruption).</w:t>
            </w:r>
          </w:p>
        </w:tc>
      </w:tr>
      <w:tr w:rsidR="00614CC5" w14:paraId="07B040F6" w14:textId="77777777">
        <w:tblPrEx>
          <w:tblCellMar>
            <w:top w:w="0" w:type="dxa"/>
            <w:bottom w:w="0" w:type="dxa"/>
          </w:tblCellMar>
        </w:tblPrEx>
        <w:tc>
          <w:tcPr>
            <w:tcW w:w="105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3D093F2F" w14:textId="77777777" w:rsidR="00614CC5" w:rsidRDefault="00000000">
            <w:r>
              <w:rPr>
                <w:color w:val="222222"/>
                <w:sz w:val="17"/>
                <w:szCs w:val="17"/>
              </w:rPr>
              <w:t>AST-004</w:t>
            </w:r>
          </w:p>
        </w:tc>
        <w:tc>
          <w:tcPr>
            <w:tcW w:w="200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26C9BED9" w14:textId="77777777" w:rsidR="00614CC5" w:rsidRDefault="00000000">
            <w:r>
              <w:rPr>
                <w:color w:val="222222"/>
                <w:sz w:val="17"/>
                <w:szCs w:val="17"/>
              </w:rPr>
              <w:t>Finance Management Laptops</w:t>
            </w:r>
          </w:p>
        </w:tc>
        <w:tc>
          <w:tcPr>
            <w:tcW w:w="820" w:type="dxa"/>
            <w:tcBorders>
              <w:top w:val="single" w:sz="1" w:space="0" w:color="C7C7C7"/>
              <w:left w:val="single" w:sz="1" w:space="0" w:color="C7C7C7"/>
              <w:bottom w:val="single" w:sz="1" w:space="0" w:color="C7C7C7"/>
              <w:right w:val="single" w:sz="1" w:space="0" w:color="C7C7C7"/>
            </w:tcBorders>
            <w:shd w:val="clear" w:color="auto" w:fill="F4B7B0"/>
            <w:tcMar>
              <w:top w:w="45" w:type="dxa"/>
              <w:left w:w="80" w:type="dxa"/>
              <w:bottom w:w="45" w:type="dxa"/>
              <w:right w:w="80" w:type="dxa"/>
            </w:tcMar>
          </w:tcPr>
          <w:p w14:paraId="24AB5D54" w14:textId="77777777" w:rsidR="00614CC5" w:rsidRDefault="00000000">
            <w:r>
              <w:rPr>
                <w:b/>
                <w:bCs/>
                <w:color w:val="222222"/>
                <w:sz w:val="17"/>
                <w:szCs w:val="17"/>
              </w:rPr>
              <w:t>High</w:t>
            </w:r>
          </w:p>
        </w:tc>
        <w:tc>
          <w:tcPr>
            <w:tcW w:w="820" w:type="dxa"/>
            <w:tcBorders>
              <w:top w:val="single" w:sz="1" w:space="0" w:color="C7C7C7"/>
              <w:left w:val="single" w:sz="1" w:space="0" w:color="C7C7C7"/>
              <w:bottom w:val="single" w:sz="1" w:space="0" w:color="C7C7C7"/>
              <w:right w:val="single" w:sz="1" w:space="0" w:color="C7C7C7"/>
            </w:tcBorders>
            <w:shd w:val="clear" w:color="auto" w:fill="C6E0B4"/>
            <w:tcMar>
              <w:top w:w="45" w:type="dxa"/>
              <w:left w:w="80" w:type="dxa"/>
              <w:bottom w:w="45" w:type="dxa"/>
              <w:right w:w="80" w:type="dxa"/>
            </w:tcMar>
          </w:tcPr>
          <w:p w14:paraId="5D2838D4" w14:textId="77777777" w:rsidR="00614CC5" w:rsidRDefault="00000000">
            <w:r>
              <w:rPr>
                <w:b/>
                <w:bCs/>
                <w:color w:val="222222"/>
                <w:sz w:val="17"/>
                <w:szCs w:val="17"/>
              </w:rPr>
              <w:t>Low</w:t>
            </w:r>
          </w:p>
        </w:tc>
        <w:tc>
          <w:tcPr>
            <w:tcW w:w="820" w:type="dxa"/>
            <w:tcBorders>
              <w:top w:val="single" w:sz="1" w:space="0" w:color="C7C7C7"/>
              <w:left w:val="single" w:sz="1" w:space="0" w:color="C7C7C7"/>
              <w:bottom w:val="single" w:sz="1" w:space="0" w:color="C7C7C7"/>
              <w:right w:val="single" w:sz="1" w:space="0" w:color="C7C7C7"/>
            </w:tcBorders>
            <w:shd w:val="clear" w:color="auto" w:fill="FCE4A6"/>
            <w:tcMar>
              <w:top w:w="45" w:type="dxa"/>
              <w:left w:w="80" w:type="dxa"/>
              <w:bottom w:w="45" w:type="dxa"/>
              <w:right w:w="80" w:type="dxa"/>
            </w:tcMar>
          </w:tcPr>
          <w:p w14:paraId="6B190AA2" w14:textId="77777777" w:rsidR="00614CC5" w:rsidRDefault="00000000">
            <w:r>
              <w:rPr>
                <w:b/>
                <w:bCs/>
                <w:color w:val="222222"/>
                <w:sz w:val="17"/>
                <w:szCs w:val="17"/>
              </w:rPr>
              <w:t>Medium</w:t>
            </w:r>
          </w:p>
        </w:tc>
        <w:tc>
          <w:tcPr>
            <w:tcW w:w="386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3AB9DF17" w14:textId="77777777" w:rsidR="00614CC5" w:rsidRDefault="00000000">
            <w:r>
              <w:rPr>
                <w:color w:val="222222"/>
                <w:sz w:val="17"/>
                <w:szCs w:val="17"/>
              </w:rPr>
              <w:t>C High if lost without encryption; holds temporary financial reports; primary data sits in the ERP.</w:t>
            </w:r>
          </w:p>
        </w:tc>
      </w:tr>
      <w:tr w:rsidR="00614CC5" w14:paraId="4934C31E" w14:textId="77777777">
        <w:tblPrEx>
          <w:tblCellMar>
            <w:top w:w="0" w:type="dxa"/>
            <w:bottom w:w="0" w:type="dxa"/>
          </w:tblCellMar>
        </w:tblPrEx>
        <w:tc>
          <w:tcPr>
            <w:tcW w:w="105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0FB8DB69" w14:textId="77777777" w:rsidR="00614CC5" w:rsidRDefault="00000000">
            <w:r>
              <w:rPr>
                <w:color w:val="222222"/>
                <w:sz w:val="17"/>
                <w:szCs w:val="17"/>
              </w:rPr>
              <w:t>AST-005</w:t>
            </w:r>
          </w:p>
        </w:tc>
        <w:tc>
          <w:tcPr>
            <w:tcW w:w="200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41C60DE8" w14:textId="77777777" w:rsidR="00614CC5" w:rsidRDefault="00000000">
            <w:r>
              <w:rPr>
                <w:color w:val="222222"/>
                <w:sz w:val="17"/>
                <w:szCs w:val="17"/>
              </w:rPr>
              <w:t>AI Research Data</w:t>
            </w:r>
          </w:p>
        </w:tc>
        <w:tc>
          <w:tcPr>
            <w:tcW w:w="820" w:type="dxa"/>
            <w:tcBorders>
              <w:top w:val="single" w:sz="1" w:space="0" w:color="C7C7C7"/>
              <w:left w:val="single" w:sz="1" w:space="0" w:color="C7C7C7"/>
              <w:bottom w:val="single" w:sz="1" w:space="0" w:color="C7C7C7"/>
              <w:right w:val="single" w:sz="1" w:space="0" w:color="C7C7C7"/>
            </w:tcBorders>
            <w:shd w:val="clear" w:color="auto" w:fill="F4B7B0"/>
            <w:tcMar>
              <w:top w:w="45" w:type="dxa"/>
              <w:left w:w="80" w:type="dxa"/>
              <w:bottom w:w="45" w:type="dxa"/>
              <w:right w:w="80" w:type="dxa"/>
            </w:tcMar>
          </w:tcPr>
          <w:p w14:paraId="6610510D" w14:textId="77777777" w:rsidR="00614CC5" w:rsidRDefault="00000000">
            <w:r>
              <w:rPr>
                <w:b/>
                <w:bCs/>
                <w:color w:val="222222"/>
                <w:sz w:val="17"/>
                <w:szCs w:val="17"/>
              </w:rPr>
              <w:t>High</w:t>
            </w:r>
          </w:p>
        </w:tc>
        <w:tc>
          <w:tcPr>
            <w:tcW w:w="820" w:type="dxa"/>
            <w:tcBorders>
              <w:top w:val="single" w:sz="1" w:space="0" w:color="C7C7C7"/>
              <w:left w:val="single" w:sz="1" w:space="0" w:color="C7C7C7"/>
              <w:bottom w:val="single" w:sz="1" w:space="0" w:color="C7C7C7"/>
              <w:right w:val="single" w:sz="1" w:space="0" w:color="C7C7C7"/>
            </w:tcBorders>
            <w:shd w:val="clear" w:color="auto" w:fill="F4B7B0"/>
            <w:tcMar>
              <w:top w:w="45" w:type="dxa"/>
              <w:left w:w="80" w:type="dxa"/>
              <w:bottom w:w="45" w:type="dxa"/>
              <w:right w:w="80" w:type="dxa"/>
            </w:tcMar>
          </w:tcPr>
          <w:p w14:paraId="1B023C69" w14:textId="77777777" w:rsidR="00614CC5" w:rsidRDefault="00000000">
            <w:r>
              <w:rPr>
                <w:b/>
                <w:bCs/>
                <w:color w:val="222222"/>
                <w:sz w:val="17"/>
                <w:szCs w:val="17"/>
              </w:rPr>
              <w:t>High</w:t>
            </w:r>
          </w:p>
        </w:tc>
        <w:tc>
          <w:tcPr>
            <w:tcW w:w="820" w:type="dxa"/>
            <w:tcBorders>
              <w:top w:val="single" w:sz="1" w:space="0" w:color="C7C7C7"/>
              <w:left w:val="single" w:sz="1" w:space="0" w:color="C7C7C7"/>
              <w:bottom w:val="single" w:sz="1" w:space="0" w:color="C7C7C7"/>
              <w:right w:val="single" w:sz="1" w:space="0" w:color="C7C7C7"/>
            </w:tcBorders>
            <w:shd w:val="clear" w:color="auto" w:fill="F4B7B0"/>
            <w:tcMar>
              <w:top w:w="45" w:type="dxa"/>
              <w:left w:w="80" w:type="dxa"/>
              <w:bottom w:w="45" w:type="dxa"/>
              <w:right w:w="80" w:type="dxa"/>
            </w:tcMar>
          </w:tcPr>
          <w:p w14:paraId="3FD45612" w14:textId="77777777" w:rsidR="00614CC5" w:rsidRDefault="00000000">
            <w:r>
              <w:rPr>
                <w:b/>
                <w:bCs/>
                <w:color w:val="222222"/>
                <w:sz w:val="17"/>
                <w:szCs w:val="17"/>
              </w:rPr>
              <w:t>High</w:t>
            </w:r>
          </w:p>
        </w:tc>
        <w:tc>
          <w:tcPr>
            <w:tcW w:w="386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4FF6C6C8" w14:textId="77777777" w:rsidR="00614CC5" w:rsidRDefault="00000000">
            <w:r>
              <w:rPr>
                <w:color w:val="222222"/>
                <w:sz w:val="17"/>
                <w:szCs w:val="17"/>
              </w:rPr>
              <w:t>Backbone IP — leak is costly; tampering corrupts model output; unavailability delays releases.</w:t>
            </w:r>
          </w:p>
        </w:tc>
      </w:tr>
      <w:tr w:rsidR="00614CC5" w14:paraId="7F9C1D55" w14:textId="77777777">
        <w:tblPrEx>
          <w:tblCellMar>
            <w:top w:w="0" w:type="dxa"/>
            <w:bottom w:w="0" w:type="dxa"/>
          </w:tblCellMar>
        </w:tblPrEx>
        <w:tc>
          <w:tcPr>
            <w:tcW w:w="105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082E3549" w14:textId="77777777" w:rsidR="00614CC5" w:rsidRDefault="00000000">
            <w:r>
              <w:rPr>
                <w:color w:val="222222"/>
                <w:sz w:val="17"/>
                <w:szCs w:val="17"/>
              </w:rPr>
              <w:t>AST-006</w:t>
            </w:r>
          </w:p>
        </w:tc>
        <w:tc>
          <w:tcPr>
            <w:tcW w:w="200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6FBEEDC2" w14:textId="77777777" w:rsidR="00614CC5" w:rsidRDefault="00000000">
            <w:r>
              <w:rPr>
                <w:color w:val="222222"/>
                <w:sz w:val="17"/>
                <w:szCs w:val="17"/>
              </w:rPr>
              <w:t>Software Developer PCs</w:t>
            </w:r>
          </w:p>
        </w:tc>
        <w:tc>
          <w:tcPr>
            <w:tcW w:w="820" w:type="dxa"/>
            <w:tcBorders>
              <w:top w:val="single" w:sz="1" w:space="0" w:color="C7C7C7"/>
              <w:left w:val="single" w:sz="1" w:space="0" w:color="C7C7C7"/>
              <w:bottom w:val="single" w:sz="1" w:space="0" w:color="C7C7C7"/>
              <w:right w:val="single" w:sz="1" w:space="0" w:color="C7C7C7"/>
            </w:tcBorders>
            <w:shd w:val="clear" w:color="auto" w:fill="F4B7B0"/>
            <w:tcMar>
              <w:top w:w="45" w:type="dxa"/>
              <w:left w:w="80" w:type="dxa"/>
              <w:bottom w:w="45" w:type="dxa"/>
              <w:right w:w="80" w:type="dxa"/>
            </w:tcMar>
          </w:tcPr>
          <w:p w14:paraId="0AB42D2E" w14:textId="77777777" w:rsidR="00614CC5" w:rsidRDefault="00000000">
            <w:r>
              <w:rPr>
                <w:b/>
                <w:bCs/>
                <w:color w:val="222222"/>
                <w:sz w:val="17"/>
                <w:szCs w:val="17"/>
              </w:rPr>
              <w:t>High</w:t>
            </w:r>
          </w:p>
        </w:tc>
        <w:tc>
          <w:tcPr>
            <w:tcW w:w="820" w:type="dxa"/>
            <w:tcBorders>
              <w:top w:val="single" w:sz="1" w:space="0" w:color="C7C7C7"/>
              <w:left w:val="single" w:sz="1" w:space="0" w:color="C7C7C7"/>
              <w:bottom w:val="single" w:sz="1" w:space="0" w:color="C7C7C7"/>
              <w:right w:val="single" w:sz="1" w:space="0" w:color="C7C7C7"/>
            </w:tcBorders>
            <w:shd w:val="clear" w:color="auto" w:fill="F4B7B0"/>
            <w:tcMar>
              <w:top w:w="45" w:type="dxa"/>
              <w:left w:w="80" w:type="dxa"/>
              <w:bottom w:w="45" w:type="dxa"/>
              <w:right w:w="80" w:type="dxa"/>
            </w:tcMar>
          </w:tcPr>
          <w:p w14:paraId="3D36015F" w14:textId="77777777" w:rsidR="00614CC5" w:rsidRDefault="00000000">
            <w:r>
              <w:rPr>
                <w:b/>
                <w:bCs/>
                <w:color w:val="222222"/>
                <w:sz w:val="17"/>
                <w:szCs w:val="17"/>
              </w:rPr>
              <w:t>High</w:t>
            </w:r>
          </w:p>
        </w:tc>
        <w:tc>
          <w:tcPr>
            <w:tcW w:w="820" w:type="dxa"/>
            <w:tcBorders>
              <w:top w:val="single" w:sz="1" w:space="0" w:color="C7C7C7"/>
              <w:left w:val="single" w:sz="1" w:space="0" w:color="C7C7C7"/>
              <w:bottom w:val="single" w:sz="1" w:space="0" w:color="C7C7C7"/>
              <w:right w:val="single" w:sz="1" w:space="0" w:color="C7C7C7"/>
            </w:tcBorders>
            <w:shd w:val="clear" w:color="auto" w:fill="F4B7B0"/>
            <w:tcMar>
              <w:top w:w="45" w:type="dxa"/>
              <w:left w:w="80" w:type="dxa"/>
              <w:bottom w:w="45" w:type="dxa"/>
              <w:right w:w="80" w:type="dxa"/>
            </w:tcMar>
          </w:tcPr>
          <w:p w14:paraId="5BDF742C" w14:textId="77777777" w:rsidR="00614CC5" w:rsidRDefault="00000000">
            <w:r>
              <w:rPr>
                <w:b/>
                <w:bCs/>
                <w:color w:val="222222"/>
                <w:sz w:val="17"/>
                <w:szCs w:val="17"/>
              </w:rPr>
              <w:t>High</w:t>
            </w:r>
          </w:p>
        </w:tc>
        <w:tc>
          <w:tcPr>
            <w:tcW w:w="386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2678B3F2" w14:textId="77777777" w:rsidR="00614CC5" w:rsidRDefault="00000000">
            <w:r>
              <w:rPr>
                <w:color w:val="222222"/>
                <w:sz w:val="17"/>
                <w:szCs w:val="17"/>
              </w:rPr>
              <w:t>Holds source code; unauthorized change catastrophic; unavailability delays delivery and support.</w:t>
            </w:r>
          </w:p>
        </w:tc>
      </w:tr>
    </w:tbl>
    <w:p w14:paraId="231E3E97" w14:textId="77777777" w:rsidR="00614CC5" w:rsidRDefault="00000000">
      <w:pPr>
        <w:spacing w:after="120" w:line="288" w:lineRule="auto"/>
        <w:jc w:val="both"/>
      </w:pPr>
      <w:r>
        <w:rPr>
          <w:b/>
          <w:bCs/>
        </w:rPr>
        <w:t xml:space="preserve">Existing baseline controls: </w:t>
      </w:r>
      <w:r>
        <w:t>AES-256 encryption at rest, RBAC, daily encrypted backups, and audit logging on core data; MFA/SSO and vendor patching on the HRIS; BitLocker full-disk encryption, EDR (Action1), password complexity, and auto screen-lock on all endpoints.</w:t>
      </w:r>
    </w:p>
    <w:p w14:paraId="5A53F24F" w14:textId="77777777" w:rsidR="00614CC5" w:rsidRDefault="00000000">
      <w:r>
        <w:br w:type="page"/>
      </w:r>
    </w:p>
    <w:p w14:paraId="6183972A" w14:textId="77777777" w:rsidR="00614CC5" w:rsidRDefault="00000000">
      <w:pPr>
        <w:pStyle w:val="Heading1"/>
      </w:pPr>
      <w:bookmarkStart w:id="4" w:name="_Toc235738913"/>
      <w:r>
        <w:lastRenderedPageBreak/>
        <w:t>3. Part 2 — Risk Assessment</w:t>
      </w:r>
      <w:bookmarkEnd w:id="4"/>
    </w:p>
    <w:p w14:paraId="104B17A1" w14:textId="77777777" w:rsidR="00614CC5" w:rsidRDefault="00000000">
      <w:pPr>
        <w:spacing w:after="120" w:line="288" w:lineRule="auto"/>
        <w:jc w:val="both"/>
      </w:pPr>
      <w:r>
        <w:t>Following the ISO 27005 steps, the major risks were identified across the asset base, each scored Likelihood × Impact. The four most serious are described, then all are summarized in the risk register.</w:t>
      </w:r>
    </w:p>
    <w:p w14:paraId="2BD62826" w14:textId="77777777" w:rsidR="00614CC5" w:rsidRDefault="00000000">
      <w:pPr>
        <w:pStyle w:val="Heading2"/>
      </w:pPr>
      <w:r>
        <w:t>3.1 Top risks in detail</w:t>
      </w:r>
    </w:p>
    <w:p w14:paraId="51CEF72C" w14:textId="77777777" w:rsidR="00614CC5" w:rsidRDefault="00000000">
      <w:pPr>
        <w:spacing w:after="120" w:line="288" w:lineRule="auto"/>
        <w:jc w:val="both"/>
      </w:pPr>
      <w:r>
        <w:rPr>
          <w:b/>
          <w:bCs/>
        </w:rPr>
        <w:t xml:space="preserve">R-01 — Ransomware / credential stuffing on the core business platform. </w:t>
      </w:r>
      <w:r>
        <w:t xml:space="preserve">External, intentional (cybercriminals). Vulnerability: no mandatory MFA on remote admin sessions and unpatched integration API keys. Likelihood 4 × Impact 5 = </w:t>
      </w:r>
      <w:r>
        <w:rPr>
          <w:b/>
          <w:bCs/>
        </w:rPr>
        <w:t>20 (High)</w:t>
      </w:r>
      <w:r>
        <w:t>.</w:t>
      </w:r>
    </w:p>
    <w:p w14:paraId="0BED23C3" w14:textId="77777777" w:rsidR="00614CC5" w:rsidRDefault="00000000">
      <w:pPr>
        <w:spacing w:after="120" w:line="288" w:lineRule="auto"/>
        <w:jc w:val="both"/>
      </w:pPr>
      <w:r>
        <w:rPr>
          <w:b/>
          <w:bCs/>
        </w:rPr>
        <w:t xml:space="preserve">R-02 — Phishing and malware on endpoints. </w:t>
      </w:r>
      <w:r>
        <w:t xml:space="preserve">Internal and external, intentional and accidental. Vulnerability: outdated OS/third-party apps and elevated local-admin rights. 4 × 4 = </w:t>
      </w:r>
      <w:r>
        <w:rPr>
          <w:b/>
          <w:bCs/>
        </w:rPr>
        <w:t>16 (High)</w:t>
      </w:r>
      <w:r>
        <w:t>.</w:t>
      </w:r>
    </w:p>
    <w:p w14:paraId="23819BFA" w14:textId="77777777" w:rsidR="00614CC5" w:rsidRDefault="00000000">
      <w:pPr>
        <w:spacing w:after="120" w:line="288" w:lineRule="auto"/>
        <w:jc w:val="both"/>
      </w:pPr>
      <w:r>
        <w:rPr>
          <w:b/>
          <w:bCs/>
        </w:rPr>
        <w:t xml:space="preserve">R-03 — Ransomware reaching backups. </w:t>
      </w:r>
      <w:r>
        <w:t xml:space="preserve">External, intentional. Vulnerability: offsite backups stored hot, without immutability or air-gapping. 3 × 5 = </w:t>
      </w:r>
      <w:r>
        <w:rPr>
          <w:b/>
          <w:bCs/>
        </w:rPr>
        <w:t>15 (High)</w:t>
      </w:r>
      <w:r>
        <w:t>.</w:t>
      </w:r>
    </w:p>
    <w:p w14:paraId="3E4978C6" w14:textId="77777777" w:rsidR="00614CC5" w:rsidRDefault="00000000">
      <w:pPr>
        <w:spacing w:after="120" w:line="288" w:lineRule="auto"/>
        <w:jc w:val="both"/>
      </w:pPr>
      <w:r>
        <w:rPr>
          <w:b/>
          <w:bCs/>
        </w:rPr>
        <w:t xml:space="preserve">R-04 — Insider misuse / corporate espionage against AI research data. </w:t>
      </w:r>
      <w:r>
        <w:t xml:space="preserve">Internal and external, intentional. Vulnerability: excessive access and weak data-loss prevention around proprietary models. Impact Critical given IP value; assessed </w:t>
      </w:r>
      <w:r>
        <w:rPr>
          <w:b/>
          <w:bCs/>
        </w:rPr>
        <w:t>Medium–High</w:t>
      </w:r>
      <w:r>
        <w:t>.</w:t>
      </w:r>
    </w:p>
    <w:p w14:paraId="23AB0B30" w14:textId="77777777" w:rsidR="00614CC5" w:rsidRDefault="00000000">
      <w:pPr>
        <w:pStyle w:val="Heading2"/>
      </w:pPr>
      <w:r>
        <w:t>3.2 Risk register</w:t>
      </w:r>
    </w:p>
    <w:p w14:paraId="73D9004F" w14:textId="77777777" w:rsidR="00614CC5" w:rsidRDefault="00000000">
      <w:pPr>
        <w:spacing w:after="120" w:line="288" w:lineRule="auto"/>
        <w:jc w:val="both"/>
      </w:pPr>
      <w:r>
        <w:t>Each risk records its initial score, treatment decision, and residual score after the Part 3 controls.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80"/>
        <w:gridCol w:w="2050"/>
        <w:gridCol w:w="1250"/>
        <w:gridCol w:w="850"/>
        <w:gridCol w:w="950"/>
        <w:gridCol w:w="1180"/>
        <w:gridCol w:w="900"/>
        <w:gridCol w:w="1500"/>
      </w:tblGrid>
      <w:tr w:rsidR="00614CC5" w14:paraId="3C5DF30A" w14:textId="77777777">
        <w:tblPrEx>
          <w:tblCellMar>
            <w:top w:w="0" w:type="dxa"/>
            <w:bottom w:w="0" w:type="dxa"/>
          </w:tblCellMar>
        </w:tblPrEx>
        <w:trPr>
          <w:tblHeader/>
        </w:trPr>
        <w:tc>
          <w:tcPr>
            <w:tcW w:w="68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66EDC8AA" w14:textId="77777777" w:rsidR="00614CC5" w:rsidRDefault="00000000">
            <w:r>
              <w:rPr>
                <w:b/>
                <w:bCs/>
                <w:color w:val="FFFFFF"/>
                <w:sz w:val="17"/>
                <w:szCs w:val="17"/>
              </w:rPr>
              <w:t>ID</w:t>
            </w:r>
          </w:p>
        </w:tc>
        <w:tc>
          <w:tcPr>
            <w:tcW w:w="205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4B38063C" w14:textId="77777777" w:rsidR="00614CC5" w:rsidRDefault="00000000">
            <w:r>
              <w:rPr>
                <w:b/>
                <w:bCs/>
                <w:color w:val="FFFFFF"/>
                <w:sz w:val="17"/>
                <w:szCs w:val="17"/>
              </w:rPr>
              <w:t>Asset / risk</w:t>
            </w:r>
          </w:p>
        </w:tc>
        <w:tc>
          <w:tcPr>
            <w:tcW w:w="125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3F541BE4" w14:textId="77777777" w:rsidR="00614CC5" w:rsidRDefault="00000000">
            <w:r>
              <w:rPr>
                <w:b/>
                <w:bCs/>
                <w:color w:val="FFFFFF"/>
                <w:sz w:val="17"/>
                <w:szCs w:val="17"/>
              </w:rPr>
              <w:t>Threat &amp; type</w:t>
            </w:r>
          </w:p>
        </w:tc>
        <w:tc>
          <w:tcPr>
            <w:tcW w:w="85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18BEC97B" w14:textId="77777777" w:rsidR="00614CC5" w:rsidRDefault="00000000">
            <w:r>
              <w:rPr>
                <w:b/>
                <w:bCs/>
                <w:color w:val="FFFFFF"/>
                <w:sz w:val="17"/>
                <w:szCs w:val="17"/>
              </w:rPr>
              <w:t>Init L×I</w:t>
            </w:r>
          </w:p>
        </w:tc>
        <w:tc>
          <w:tcPr>
            <w:tcW w:w="95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6A442A61" w14:textId="77777777" w:rsidR="00614CC5" w:rsidRDefault="00000000">
            <w:r>
              <w:rPr>
                <w:b/>
                <w:bCs/>
                <w:color w:val="FFFFFF"/>
                <w:sz w:val="17"/>
                <w:szCs w:val="17"/>
              </w:rPr>
              <w:t>Init level</w:t>
            </w:r>
          </w:p>
        </w:tc>
        <w:tc>
          <w:tcPr>
            <w:tcW w:w="118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541ABC01" w14:textId="77777777" w:rsidR="00614CC5" w:rsidRDefault="00000000">
            <w:r>
              <w:rPr>
                <w:b/>
                <w:bCs/>
                <w:color w:val="FFFFFF"/>
                <w:sz w:val="17"/>
                <w:szCs w:val="17"/>
              </w:rPr>
              <w:t>Treatment</w:t>
            </w:r>
          </w:p>
        </w:tc>
        <w:tc>
          <w:tcPr>
            <w:tcW w:w="90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20AB5A5E" w14:textId="77777777" w:rsidR="00614CC5" w:rsidRDefault="00000000">
            <w:r>
              <w:rPr>
                <w:b/>
                <w:bCs/>
                <w:color w:val="FFFFFF"/>
                <w:sz w:val="17"/>
                <w:szCs w:val="17"/>
              </w:rPr>
              <w:t>Resid.</w:t>
            </w:r>
          </w:p>
        </w:tc>
        <w:tc>
          <w:tcPr>
            <w:tcW w:w="150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68B6801E" w14:textId="77777777" w:rsidR="00614CC5" w:rsidRDefault="00000000">
            <w:r>
              <w:rPr>
                <w:b/>
                <w:bCs/>
                <w:color w:val="FFFFFF"/>
                <w:sz w:val="17"/>
                <w:szCs w:val="17"/>
              </w:rPr>
              <w:t>Owner</w:t>
            </w:r>
          </w:p>
        </w:tc>
      </w:tr>
      <w:tr w:rsidR="00614CC5" w14:paraId="012A0C09" w14:textId="77777777">
        <w:tblPrEx>
          <w:tblCellMar>
            <w:top w:w="0" w:type="dxa"/>
            <w:bottom w:w="0" w:type="dxa"/>
          </w:tblCellMar>
        </w:tblPrEx>
        <w:tc>
          <w:tcPr>
            <w:tcW w:w="68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7B418EEF" w14:textId="77777777" w:rsidR="00614CC5" w:rsidRDefault="00000000">
            <w:r>
              <w:rPr>
                <w:color w:val="222222"/>
                <w:sz w:val="17"/>
                <w:szCs w:val="17"/>
              </w:rPr>
              <w:t>R-01</w:t>
            </w:r>
          </w:p>
        </w:tc>
        <w:tc>
          <w:tcPr>
            <w:tcW w:w="205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1D1571E5" w14:textId="77777777" w:rsidR="00614CC5" w:rsidRDefault="00000000">
            <w:r>
              <w:rPr>
                <w:color w:val="222222"/>
                <w:sz w:val="17"/>
                <w:szCs w:val="17"/>
              </w:rPr>
              <w:t>Core platform — ransomware / credential stuffing</w:t>
            </w:r>
          </w:p>
        </w:tc>
        <w:tc>
          <w:tcPr>
            <w:tcW w:w="125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5ABF1676" w14:textId="77777777" w:rsidR="00614CC5" w:rsidRDefault="00000000">
            <w:r>
              <w:rPr>
                <w:color w:val="222222"/>
                <w:sz w:val="17"/>
                <w:szCs w:val="17"/>
              </w:rPr>
              <w:t>Ext / intentional</w:t>
            </w:r>
          </w:p>
        </w:tc>
        <w:tc>
          <w:tcPr>
            <w:tcW w:w="85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6FCD9683" w14:textId="77777777" w:rsidR="00614CC5" w:rsidRDefault="00000000">
            <w:r>
              <w:rPr>
                <w:color w:val="222222"/>
                <w:sz w:val="17"/>
                <w:szCs w:val="17"/>
              </w:rPr>
              <w:t>4×5</w:t>
            </w:r>
          </w:p>
        </w:tc>
        <w:tc>
          <w:tcPr>
            <w:tcW w:w="950" w:type="dxa"/>
            <w:tcBorders>
              <w:top w:val="single" w:sz="1" w:space="0" w:color="C7C7C7"/>
              <w:left w:val="single" w:sz="1" w:space="0" w:color="C7C7C7"/>
              <w:bottom w:val="single" w:sz="1" w:space="0" w:color="C7C7C7"/>
              <w:right w:val="single" w:sz="1" w:space="0" w:color="C7C7C7"/>
            </w:tcBorders>
            <w:shd w:val="clear" w:color="auto" w:fill="F4B7B0"/>
            <w:tcMar>
              <w:top w:w="45" w:type="dxa"/>
              <w:left w:w="80" w:type="dxa"/>
              <w:bottom w:w="45" w:type="dxa"/>
              <w:right w:w="80" w:type="dxa"/>
            </w:tcMar>
          </w:tcPr>
          <w:p w14:paraId="3D142423" w14:textId="77777777" w:rsidR="00614CC5" w:rsidRDefault="00000000">
            <w:r>
              <w:rPr>
                <w:b/>
                <w:bCs/>
                <w:color w:val="222222"/>
                <w:sz w:val="17"/>
                <w:szCs w:val="17"/>
              </w:rPr>
              <w:t>High</w:t>
            </w:r>
          </w:p>
        </w:tc>
        <w:tc>
          <w:tcPr>
            <w:tcW w:w="118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48BB38FE" w14:textId="77777777" w:rsidR="00614CC5" w:rsidRDefault="00000000">
            <w:r>
              <w:rPr>
                <w:color w:val="222222"/>
                <w:sz w:val="17"/>
                <w:szCs w:val="17"/>
              </w:rPr>
              <w:t>Mitigate</w:t>
            </w:r>
          </w:p>
        </w:tc>
        <w:tc>
          <w:tcPr>
            <w:tcW w:w="900" w:type="dxa"/>
            <w:tcBorders>
              <w:top w:val="single" w:sz="1" w:space="0" w:color="C7C7C7"/>
              <w:left w:val="single" w:sz="1" w:space="0" w:color="C7C7C7"/>
              <w:bottom w:val="single" w:sz="1" w:space="0" w:color="C7C7C7"/>
              <w:right w:val="single" w:sz="1" w:space="0" w:color="C7C7C7"/>
            </w:tcBorders>
            <w:shd w:val="clear" w:color="auto" w:fill="FCE4A6"/>
            <w:tcMar>
              <w:top w:w="45" w:type="dxa"/>
              <w:left w:w="80" w:type="dxa"/>
              <w:bottom w:w="45" w:type="dxa"/>
              <w:right w:w="80" w:type="dxa"/>
            </w:tcMar>
          </w:tcPr>
          <w:p w14:paraId="51863FCA" w14:textId="77777777" w:rsidR="00614CC5" w:rsidRDefault="00000000">
            <w:r>
              <w:rPr>
                <w:color w:val="222222"/>
                <w:sz w:val="17"/>
                <w:szCs w:val="17"/>
              </w:rPr>
              <w:t>6 Med</w:t>
            </w:r>
          </w:p>
        </w:tc>
        <w:tc>
          <w:tcPr>
            <w:tcW w:w="150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264A0838" w14:textId="77777777" w:rsidR="00614CC5" w:rsidRDefault="00000000">
            <w:r>
              <w:rPr>
                <w:color w:val="222222"/>
                <w:sz w:val="17"/>
                <w:szCs w:val="17"/>
              </w:rPr>
              <w:t>Head of IT &amp; Security</w:t>
            </w:r>
          </w:p>
        </w:tc>
      </w:tr>
      <w:tr w:rsidR="00614CC5" w14:paraId="3808AE94" w14:textId="77777777">
        <w:tblPrEx>
          <w:tblCellMar>
            <w:top w:w="0" w:type="dxa"/>
            <w:bottom w:w="0" w:type="dxa"/>
          </w:tblCellMar>
        </w:tblPrEx>
        <w:tc>
          <w:tcPr>
            <w:tcW w:w="68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451C77E1" w14:textId="77777777" w:rsidR="00614CC5" w:rsidRDefault="00000000">
            <w:r>
              <w:rPr>
                <w:color w:val="222222"/>
                <w:sz w:val="17"/>
                <w:szCs w:val="17"/>
              </w:rPr>
              <w:t>R-02</w:t>
            </w:r>
          </w:p>
        </w:tc>
        <w:tc>
          <w:tcPr>
            <w:tcW w:w="205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702FDEEF" w14:textId="77777777" w:rsidR="00614CC5" w:rsidRDefault="00000000">
            <w:r>
              <w:rPr>
                <w:color w:val="222222"/>
                <w:sz w:val="17"/>
                <w:szCs w:val="17"/>
              </w:rPr>
              <w:t>Endpoints — phishing &amp; malware</w:t>
            </w:r>
          </w:p>
        </w:tc>
        <w:tc>
          <w:tcPr>
            <w:tcW w:w="125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77886737" w14:textId="77777777" w:rsidR="00614CC5" w:rsidRDefault="00000000">
            <w:proofErr w:type="spellStart"/>
            <w:r>
              <w:rPr>
                <w:color w:val="222222"/>
                <w:sz w:val="17"/>
                <w:szCs w:val="17"/>
              </w:rPr>
              <w:t>Int+Ext</w:t>
            </w:r>
            <w:proofErr w:type="spellEnd"/>
            <w:r>
              <w:rPr>
                <w:color w:val="222222"/>
                <w:sz w:val="17"/>
                <w:szCs w:val="17"/>
              </w:rPr>
              <w:t xml:space="preserve"> / </w:t>
            </w:r>
            <w:proofErr w:type="spellStart"/>
            <w:r>
              <w:rPr>
                <w:color w:val="222222"/>
                <w:sz w:val="17"/>
                <w:szCs w:val="17"/>
              </w:rPr>
              <w:t>int+accid</w:t>
            </w:r>
            <w:proofErr w:type="spellEnd"/>
          </w:p>
        </w:tc>
        <w:tc>
          <w:tcPr>
            <w:tcW w:w="85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46EC9481" w14:textId="77777777" w:rsidR="00614CC5" w:rsidRDefault="00000000">
            <w:r>
              <w:rPr>
                <w:color w:val="222222"/>
                <w:sz w:val="17"/>
                <w:szCs w:val="17"/>
              </w:rPr>
              <w:t>4×4</w:t>
            </w:r>
          </w:p>
        </w:tc>
        <w:tc>
          <w:tcPr>
            <w:tcW w:w="950" w:type="dxa"/>
            <w:tcBorders>
              <w:top w:val="single" w:sz="1" w:space="0" w:color="C7C7C7"/>
              <w:left w:val="single" w:sz="1" w:space="0" w:color="C7C7C7"/>
              <w:bottom w:val="single" w:sz="1" w:space="0" w:color="C7C7C7"/>
              <w:right w:val="single" w:sz="1" w:space="0" w:color="C7C7C7"/>
            </w:tcBorders>
            <w:shd w:val="clear" w:color="auto" w:fill="F4B7B0"/>
            <w:tcMar>
              <w:top w:w="45" w:type="dxa"/>
              <w:left w:w="80" w:type="dxa"/>
              <w:bottom w:w="45" w:type="dxa"/>
              <w:right w:w="80" w:type="dxa"/>
            </w:tcMar>
          </w:tcPr>
          <w:p w14:paraId="7D09E583" w14:textId="77777777" w:rsidR="00614CC5" w:rsidRDefault="00000000">
            <w:r>
              <w:rPr>
                <w:b/>
                <w:bCs/>
                <w:color w:val="222222"/>
                <w:sz w:val="17"/>
                <w:szCs w:val="17"/>
              </w:rPr>
              <w:t>High</w:t>
            </w:r>
          </w:p>
        </w:tc>
        <w:tc>
          <w:tcPr>
            <w:tcW w:w="118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7FB6CBD2" w14:textId="77777777" w:rsidR="00614CC5" w:rsidRDefault="00000000">
            <w:r>
              <w:rPr>
                <w:color w:val="222222"/>
                <w:sz w:val="17"/>
                <w:szCs w:val="17"/>
              </w:rPr>
              <w:t>Mitigate</w:t>
            </w:r>
          </w:p>
        </w:tc>
        <w:tc>
          <w:tcPr>
            <w:tcW w:w="900" w:type="dxa"/>
            <w:tcBorders>
              <w:top w:val="single" w:sz="1" w:space="0" w:color="C7C7C7"/>
              <w:left w:val="single" w:sz="1" w:space="0" w:color="C7C7C7"/>
              <w:bottom w:val="single" w:sz="1" w:space="0" w:color="C7C7C7"/>
              <w:right w:val="single" w:sz="1" w:space="0" w:color="C7C7C7"/>
            </w:tcBorders>
            <w:shd w:val="clear" w:color="auto" w:fill="C6E0B4"/>
            <w:tcMar>
              <w:top w:w="45" w:type="dxa"/>
              <w:left w:w="80" w:type="dxa"/>
              <w:bottom w:w="45" w:type="dxa"/>
              <w:right w:w="80" w:type="dxa"/>
            </w:tcMar>
          </w:tcPr>
          <w:p w14:paraId="22B63373" w14:textId="77777777" w:rsidR="00614CC5" w:rsidRDefault="00000000">
            <w:r>
              <w:rPr>
                <w:color w:val="222222"/>
                <w:sz w:val="17"/>
                <w:szCs w:val="17"/>
              </w:rPr>
              <w:t>4 Low</w:t>
            </w:r>
          </w:p>
        </w:tc>
        <w:tc>
          <w:tcPr>
            <w:tcW w:w="150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42E07581" w14:textId="77777777" w:rsidR="00614CC5" w:rsidRDefault="00000000">
            <w:r>
              <w:rPr>
                <w:color w:val="222222"/>
                <w:sz w:val="17"/>
                <w:szCs w:val="17"/>
              </w:rPr>
              <w:t>Endpoint Admin</w:t>
            </w:r>
          </w:p>
        </w:tc>
      </w:tr>
      <w:tr w:rsidR="00614CC5" w14:paraId="0241D0A7" w14:textId="77777777">
        <w:tblPrEx>
          <w:tblCellMar>
            <w:top w:w="0" w:type="dxa"/>
            <w:bottom w:w="0" w:type="dxa"/>
          </w:tblCellMar>
        </w:tblPrEx>
        <w:tc>
          <w:tcPr>
            <w:tcW w:w="68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401E4001" w14:textId="77777777" w:rsidR="00614CC5" w:rsidRDefault="00000000">
            <w:r>
              <w:rPr>
                <w:color w:val="222222"/>
                <w:sz w:val="17"/>
                <w:szCs w:val="17"/>
              </w:rPr>
              <w:t>R-03</w:t>
            </w:r>
          </w:p>
        </w:tc>
        <w:tc>
          <w:tcPr>
            <w:tcW w:w="205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638A30D7" w14:textId="77777777" w:rsidR="00614CC5" w:rsidRDefault="00000000">
            <w:r>
              <w:rPr>
                <w:color w:val="222222"/>
                <w:sz w:val="17"/>
                <w:szCs w:val="17"/>
              </w:rPr>
              <w:t>Servers &amp; cloud — ransomware to backups</w:t>
            </w:r>
          </w:p>
        </w:tc>
        <w:tc>
          <w:tcPr>
            <w:tcW w:w="125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47809713" w14:textId="77777777" w:rsidR="00614CC5" w:rsidRDefault="00000000">
            <w:r>
              <w:rPr>
                <w:color w:val="222222"/>
                <w:sz w:val="17"/>
                <w:szCs w:val="17"/>
              </w:rPr>
              <w:t>Ext / intentional</w:t>
            </w:r>
          </w:p>
        </w:tc>
        <w:tc>
          <w:tcPr>
            <w:tcW w:w="85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2B308E1E" w14:textId="77777777" w:rsidR="00614CC5" w:rsidRDefault="00000000">
            <w:r>
              <w:rPr>
                <w:color w:val="222222"/>
                <w:sz w:val="17"/>
                <w:szCs w:val="17"/>
              </w:rPr>
              <w:t>3×5</w:t>
            </w:r>
          </w:p>
        </w:tc>
        <w:tc>
          <w:tcPr>
            <w:tcW w:w="950" w:type="dxa"/>
            <w:tcBorders>
              <w:top w:val="single" w:sz="1" w:space="0" w:color="C7C7C7"/>
              <w:left w:val="single" w:sz="1" w:space="0" w:color="C7C7C7"/>
              <w:bottom w:val="single" w:sz="1" w:space="0" w:color="C7C7C7"/>
              <w:right w:val="single" w:sz="1" w:space="0" w:color="C7C7C7"/>
            </w:tcBorders>
            <w:shd w:val="clear" w:color="auto" w:fill="F4B7B0"/>
            <w:tcMar>
              <w:top w:w="45" w:type="dxa"/>
              <w:left w:w="80" w:type="dxa"/>
              <w:bottom w:w="45" w:type="dxa"/>
              <w:right w:w="80" w:type="dxa"/>
            </w:tcMar>
          </w:tcPr>
          <w:p w14:paraId="00C8E30E" w14:textId="77777777" w:rsidR="00614CC5" w:rsidRDefault="00000000">
            <w:r>
              <w:rPr>
                <w:b/>
                <w:bCs/>
                <w:color w:val="222222"/>
                <w:sz w:val="17"/>
                <w:szCs w:val="17"/>
              </w:rPr>
              <w:t>High</w:t>
            </w:r>
          </w:p>
        </w:tc>
        <w:tc>
          <w:tcPr>
            <w:tcW w:w="118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35BB2E82" w14:textId="77777777" w:rsidR="00614CC5" w:rsidRDefault="00000000">
            <w:r>
              <w:rPr>
                <w:color w:val="222222"/>
                <w:sz w:val="17"/>
                <w:szCs w:val="17"/>
              </w:rPr>
              <w:t xml:space="preserve">Mitigate &amp; </w:t>
            </w:r>
            <w:proofErr w:type="gramStart"/>
            <w:r>
              <w:rPr>
                <w:color w:val="222222"/>
                <w:sz w:val="17"/>
                <w:szCs w:val="17"/>
              </w:rPr>
              <w:t>Share</w:t>
            </w:r>
            <w:proofErr w:type="gramEnd"/>
          </w:p>
        </w:tc>
        <w:tc>
          <w:tcPr>
            <w:tcW w:w="900" w:type="dxa"/>
            <w:tcBorders>
              <w:top w:val="single" w:sz="1" w:space="0" w:color="C7C7C7"/>
              <w:left w:val="single" w:sz="1" w:space="0" w:color="C7C7C7"/>
              <w:bottom w:val="single" w:sz="1" w:space="0" w:color="C7C7C7"/>
              <w:right w:val="single" w:sz="1" w:space="0" w:color="C7C7C7"/>
            </w:tcBorders>
            <w:shd w:val="clear" w:color="auto" w:fill="C6E0B4"/>
            <w:tcMar>
              <w:top w:w="45" w:type="dxa"/>
              <w:left w:w="80" w:type="dxa"/>
              <w:bottom w:w="45" w:type="dxa"/>
              <w:right w:w="80" w:type="dxa"/>
            </w:tcMar>
          </w:tcPr>
          <w:p w14:paraId="68F40153" w14:textId="77777777" w:rsidR="00614CC5" w:rsidRDefault="00000000">
            <w:r>
              <w:rPr>
                <w:color w:val="222222"/>
                <w:sz w:val="17"/>
                <w:szCs w:val="17"/>
              </w:rPr>
              <w:t>3 Low</w:t>
            </w:r>
          </w:p>
        </w:tc>
        <w:tc>
          <w:tcPr>
            <w:tcW w:w="150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73E3B91F" w14:textId="77777777" w:rsidR="00614CC5" w:rsidRDefault="00000000">
            <w:r>
              <w:rPr>
                <w:color w:val="222222"/>
                <w:sz w:val="17"/>
                <w:szCs w:val="17"/>
              </w:rPr>
              <w:t>Infrastructure Lead</w:t>
            </w:r>
          </w:p>
        </w:tc>
      </w:tr>
      <w:tr w:rsidR="00614CC5" w14:paraId="5DC275EB" w14:textId="77777777">
        <w:tblPrEx>
          <w:tblCellMar>
            <w:top w:w="0" w:type="dxa"/>
            <w:bottom w:w="0" w:type="dxa"/>
          </w:tblCellMar>
        </w:tblPrEx>
        <w:tc>
          <w:tcPr>
            <w:tcW w:w="68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31EE49D8" w14:textId="77777777" w:rsidR="00614CC5" w:rsidRDefault="00000000">
            <w:r>
              <w:rPr>
                <w:color w:val="222222"/>
                <w:sz w:val="17"/>
                <w:szCs w:val="17"/>
              </w:rPr>
              <w:t>R-04</w:t>
            </w:r>
          </w:p>
        </w:tc>
        <w:tc>
          <w:tcPr>
            <w:tcW w:w="205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1D93BFA3" w14:textId="77777777" w:rsidR="00614CC5" w:rsidRDefault="00000000">
            <w:r>
              <w:rPr>
                <w:color w:val="222222"/>
                <w:sz w:val="17"/>
                <w:szCs w:val="17"/>
              </w:rPr>
              <w:t>CCTV &amp; server room — physical intrusion</w:t>
            </w:r>
          </w:p>
        </w:tc>
        <w:tc>
          <w:tcPr>
            <w:tcW w:w="125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482B845D" w14:textId="77777777" w:rsidR="00614CC5" w:rsidRDefault="00000000">
            <w:proofErr w:type="spellStart"/>
            <w:r>
              <w:rPr>
                <w:color w:val="222222"/>
                <w:sz w:val="17"/>
                <w:szCs w:val="17"/>
              </w:rPr>
              <w:t>Int+Ext</w:t>
            </w:r>
            <w:proofErr w:type="spellEnd"/>
            <w:r>
              <w:rPr>
                <w:color w:val="222222"/>
                <w:sz w:val="17"/>
                <w:szCs w:val="17"/>
              </w:rPr>
              <w:t xml:space="preserve"> / intentional</w:t>
            </w:r>
          </w:p>
        </w:tc>
        <w:tc>
          <w:tcPr>
            <w:tcW w:w="85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4881CDCF" w14:textId="77777777" w:rsidR="00614CC5" w:rsidRDefault="00000000">
            <w:r>
              <w:rPr>
                <w:color w:val="222222"/>
                <w:sz w:val="17"/>
                <w:szCs w:val="17"/>
              </w:rPr>
              <w:t>3×3</w:t>
            </w:r>
          </w:p>
        </w:tc>
        <w:tc>
          <w:tcPr>
            <w:tcW w:w="950" w:type="dxa"/>
            <w:tcBorders>
              <w:top w:val="single" w:sz="1" w:space="0" w:color="C7C7C7"/>
              <w:left w:val="single" w:sz="1" w:space="0" w:color="C7C7C7"/>
              <w:bottom w:val="single" w:sz="1" w:space="0" w:color="C7C7C7"/>
              <w:right w:val="single" w:sz="1" w:space="0" w:color="C7C7C7"/>
            </w:tcBorders>
            <w:shd w:val="clear" w:color="auto" w:fill="FCE4A6"/>
            <w:tcMar>
              <w:top w:w="45" w:type="dxa"/>
              <w:left w:w="80" w:type="dxa"/>
              <w:bottom w:w="45" w:type="dxa"/>
              <w:right w:w="80" w:type="dxa"/>
            </w:tcMar>
          </w:tcPr>
          <w:p w14:paraId="36C158DD" w14:textId="77777777" w:rsidR="00614CC5" w:rsidRDefault="00000000">
            <w:r>
              <w:rPr>
                <w:b/>
                <w:bCs/>
                <w:color w:val="222222"/>
                <w:sz w:val="17"/>
                <w:szCs w:val="17"/>
              </w:rPr>
              <w:t>Medium</w:t>
            </w:r>
          </w:p>
        </w:tc>
        <w:tc>
          <w:tcPr>
            <w:tcW w:w="118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327AE7E2" w14:textId="77777777" w:rsidR="00614CC5" w:rsidRDefault="00000000">
            <w:r>
              <w:rPr>
                <w:color w:val="222222"/>
                <w:sz w:val="17"/>
                <w:szCs w:val="17"/>
              </w:rPr>
              <w:t>Mitigate</w:t>
            </w:r>
          </w:p>
        </w:tc>
        <w:tc>
          <w:tcPr>
            <w:tcW w:w="900" w:type="dxa"/>
            <w:tcBorders>
              <w:top w:val="single" w:sz="1" w:space="0" w:color="C7C7C7"/>
              <w:left w:val="single" w:sz="1" w:space="0" w:color="C7C7C7"/>
              <w:bottom w:val="single" w:sz="1" w:space="0" w:color="C7C7C7"/>
              <w:right w:val="single" w:sz="1" w:space="0" w:color="C7C7C7"/>
            </w:tcBorders>
            <w:shd w:val="clear" w:color="auto" w:fill="C6E0B4"/>
            <w:tcMar>
              <w:top w:w="45" w:type="dxa"/>
              <w:left w:w="80" w:type="dxa"/>
              <w:bottom w:w="45" w:type="dxa"/>
              <w:right w:w="80" w:type="dxa"/>
            </w:tcMar>
          </w:tcPr>
          <w:p w14:paraId="301E9B86" w14:textId="77777777" w:rsidR="00614CC5" w:rsidRDefault="00000000">
            <w:r>
              <w:rPr>
                <w:color w:val="222222"/>
                <w:sz w:val="17"/>
                <w:szCs w:val="17"/>
              </w:rPr>
              <w:t>2 Low</w:t>
            </w:r>
          </w:p>
        </w:tc>
        <w:tc>
          <w:tcPr>
            <w:tcW w:w="150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21413607" w14:textId="77777777" w:rsidR="00614CC5" w:rsidRDefault="00000000">
            <w:r>
              <w:rPr>
                <w:color w:val="222222"/>
                <w:sz w:val="17"/>
                <w:szCs w:val="17"/>
              </w:rPr>
              <w:t>Facility Manager</w:t>
            </w:r>
          </w:p>
        </w:tc>
      </w:tr>
      <w:tr w:rsidR="00614CC5" w14:paraId="37B6E0A5" w14:textId="77777777">
        <w:tblPrEx>
          <w:tblCellMar>
            <w:top w:w="0" w:type="dxa"/>
            <w:bottom w:w="0" w:type="dxa"/>
          </w:tblCellMar>
        </w:tblPrEx>
        <w:tc>
          <w:tcPr>
            <w:tcW w:w="68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0832AE3D" w14:textId="77777777" w:rsidR="00614CC5" w:rsidRDefault="00000000">
            <w:r>
              <w:rPr>
                <w:color w:val="222222"/>
                <w:sz w:val="17"/>
                <w:szCs w:val="17"/>
              </w:rPr>
              <w:t>R-05</w:t>
            </w:r>
          </w:p>
        </w:tc>
        <w:tc>
          <w:tcPr>
            <w:tcW w:w="205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1B5302EC" w14:textId="77777777" w:rsidR="00614CC5" w:rsidRDefault="00000000">
            <w:r>
              <w:rPr>
                <w:color w:val="222222"/>
                <w:sz w:val="17"/>
                <w:szCs w:val="17"/>
              </w:rPr>
              <w:t>Support portal — social engineering</w:t>
            </w:r>
          </w:p>
        </w:tc>
        <w:tc>
          <w:tcPr>
            <w:tcW w:w="125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5AA3EA61" w14:textId="77777777" w:rsidR="00614CC5" w:rsidRDefault="00000000">
            <w:r>
              <w:rPr>
                <w:color w:val="222222"/>
                <w:sz w:val="17"/>
                <w:szCs w:val="17"/>
              </w:rPr>
              <w:t>Ext / intentional</w:t>
            </w:r>
          </w:p>
        </w:tc>
        <w:tc>
          <w:tcPr>
            <w:tcW w:w="85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5D63727D" w14:textId="77777777" w:rsidR="00614CC5" w:rsidRDefault="00000000">
            <w:r>
              <w:rPr>
                <w:color w:val="222222"/>
                <w:sz w:val="17"/>
                <w:szCs w:val="17"/>
              </w:rPr>
              <w:t>3×3</w:t>
            </w:r>
          </w:p>
        </w:tc>
        <w:tc>
          <w:tcPr>
            <w:tcW w:w="950" w:type="dxa"/>
            <w:tcBorders>
              <w:top w:val="single" w:sz="1" w:space="0" w:color="C7C7C7"/>
              <w:left w:val="single" w:sz="1" w:space="0" w:color="C7C7C7"/>
              <w:bottom w:val="single" w:sz="1" w:space="0" w:color="C7C7C7"/>
              <w:right w:val="single" w:sz="1" w:space="0" w:color="C7C7C7"/>
            </w:tcBorders>
            <w:shd w:val="clear" w:color="auto" w:fill="FCE4A6"/>
            <w:tcMar>
              <w:top w:w="45" w:type="dxa"/>
              <w:left w:w="80" w:type="dxa"/>
              <w:bottom w:w="45" w:type="dxa"/>
              <w:right w:w="80" w:type="dxa"/>
            </w:tcMar>
          </w:tcPr>
          <w:p w14:paraId="4B2C0ACA" w14:textId="77777777" w:rsidR="00614CC5" w:rsidRDefault="00000000">
            <w:r>
              <w:rPr>
                <w:b/>
                <w:bCs/>
                <w:color w:val="222222"/>
                <w:sz w:val="17"/>
                <w:szCs w:val="17"/>
              </w:rPr>
              <w:t>Medium</w:t>
            </w:r>
          </w:p>
        </w:tc>
        <w:tc>
          <w:tcPr>
            <w:tcW w:w="118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73A6B801" w14:textId="77777777" w:rsidR="00614CC5" w:rsidRDefault="00000000">
            <w:r>
              <w:rPr>
                <w:color w:val="222222"/>
                <w:sz w:val="17"/>
                <w:szCs w:val="17"/>
              </w:rPr>
              <w:t>Mitigate</w:t>
            </w:r>
          </w:p>
        </w:tc>
        <w:tc>
          <w:tcPr>
            <w:tcW w:w="900" w:type="dxa"/>
            <w:tcBorders>
              <w:top w:val="single" w:sz="1" w:space="0" w:color="C7C7C7"/>
              <w:left w:val="single" w:sz="1" w:space="0" w:color="C7C7C7"/>
              <w:bottom w:val="single" w:sz="1" w:space="0" w:color="C7C7C7"/>
              <w:right w:val="single" w:sz="1" w:space="0" w:color="C7C7C7"/>
            </w:tcBorders>
            <w:shd w:val="clear" w:color="auto" w:fill="C6E0B4"/>
            <w:tcMar>
              <w:top w:w="45" w:type="dxa"/>
              <w:left w:w="80" w:type="dxa"/>
              <w:bottom w:w="45" w:type="dxa"/>
              <w:right w:w="80" w:type="dxa"/>
            </w:tcMar>
          </w:tcPr>
          <w:p w14:paraId="5DEDE949" w14:textId="77777777" w:rsidR="00614CC5" w:rsidRDefault="00000000">
            <w:r>
              <w:rPr>
                <w:color w:val="222222"/>
                <w:sz w:val="17"/>
                <w:szCs w:val="17"/>
              </w:rPr>
              <w:t>2 Low</w:t>
            </w:r>
          </w:p>
        </w:tc>
        <w:tc>
          <w:tcPr>
            <w:tcW w:w="150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0B1B7728" w14:textId="77777777" w:rsidR="00614CC5" w:rsidRDefault="00000000">
            <w:r>
              <w:rPr>
                <w:color w:val="222222"/>
                <w:sz w:val="17"/>
                <w:szCs w:val="17"/>
              </w:rPr>
              <w:t>Helpdesk Manager</w:t>
            </w:r>
          </w:p>
        </w:tc>
      </w:tr>
    </w:tbl>
    <w:p w14:paraId="7DD4ECBC" w14:textId="77777777" w:rsidR="00614CC5" w:rsidRDefault="00000000">
      <w:pPr>
        <w:pStyle w:val="Heading2"/>
      </w:pPr>
      <w:r>
        <w:t>3.3 Risk matrix</w:t>
      </w:r>
    </w:p>
    <w:p w14:paraId="6C8ADD7B" w14:textId="77777777" w:rsidR="00614CC5" w:rsidRDefault="00000000">
      <w:pPr>
        <w:spacing w:after="120" w:line="288" w:lineRule="auto"/>
        <w:jc w:val="both"/>
      </w:pPr>
      <w:r>
        <w:t>The matrix plots initial likelihood against impact; darker cells are higher priority. R-01, R-02, and R-03 are the High-priority risks to treat first.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2600"/>
        <w:gridCol w:w="2600"/>
        <w:gridCol w:w="2600"/>
      </w:tblGrid>
      <w:tr w:rsidR="00614CC5" w14:paraId="54471876" w14:textId="77777777">
        <w:tblPrEx>
          <w:tblCellMar>
            <w:top w:w="0" w:type="dxa"/>
            <w:bottom w:w="0" w:type="dxa"/>
          </w:tblCellMar>
        </w:tblPrEx>
        <w:trPr>
          <w:tblHeader/>
        </w:trPr>
        <w:tc>
          <w:tcPr>
            <w:tcW w:w="156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265FBB2F" w14:textId="77777777" w:rsidR="00614CC5" w:rsidRDefault="00000000">
            <w:r>
              <w:rPr>
                <w:b/>
                <w:bCs/>
                <w:color w:val="FFFFFF"/>
                <w:sz w:val="17"/>
                <w:szCs w:val="17"/>
              </w:rPr>
              <w:t>Likelihood \ Impact</w:t>
            </w:r>
          </w:p>
        </w:tc>
        <w:tc>
          <w:tcPr>
            <w:tcW w:w="260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419CCB86" w14:textId="77777777" w:rsidR="00614CC5" w:rsidRDefault="00000000">
            <w:r>
              <w:rPr>
                <w:b/>
                <w:bCs/>
                <w:color w:val="FFFFFF"/>
                <w:sz w:val="17"/>
                <w:szCs w:val="17"/>
              </w:rPr>
              <w:t>Low / Moderate</w:t>
            </w:r>
          </w:p>
        </w:tc>
        <w:tc>
          <w:tcPr>
            <w:tcW w:w="260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3738982A" w14:textId="77777777" w:rsidR="00614CC5" w:rsidRDefault="00000000">
            <w:r>
              <w:rPr>
                <w:b/>
                <w:bCs/>
                <w:color w:val="FFFFFF"/>
                <w:sz w:val="17"/>
                <w:szCs w:val="17"/>
              </w:rPr>
              <w:t>High</w:t>
            </w:r>
          </w:p>
        </w:tc>
        <w:tc>
          <w:tcPr>
            <w:tcW w:w="260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11325DD9" w14:textId="77777777" w:rsidR="00614CC5" w:rsidRDefault="00000000">
            <w:r>
              <w:rPr>
                <w:b/>
                <w:bCs/>
                <w:color w:val="FFFFFF"/>
                <w:sz w:val="17"/>
                <w:szCs w:val="17"/>
              </w:rPr>
              <w:t>Critical</w:t>
            </w:r>
          </w:p>
        </w:tc>
      </w:tr>
      <w:tr w:rsidR="00614CC5" w14:paraId="5E2EF13B" w14:textId="77777777">
        <w:tblPrEx>
          <w:tblCellMar>
            <w:top w:w="0" w:type="dxa"/>
            <w:bottom w:w="0" w:type="dxa"/>
          </w:tblCellMar>
        </w:tblPrEx>
        <w:tc>
          <w:tcPr>
            <w:tcW w:w="156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46823D69" w14:textId="77777777" w:rsidR="00614CC5" w:rsidRDefault="00000000">
            <w:r>
              <w:rPr>
                <w:b/>
                <w:bCs/>
                <w:color w:val="222222"/>
                <w:sz w:val="17"/>
                <w:szCs w:val="17"/>
              </w:rPr>
              <w:t>Likely (4)</w:t>
            </w:r>
          </w:p>
        </w:tc>
        <w:tc>
          <w:tcPr>
            <w:tcW w:w="2600" w:type="dxa"/>
            <w:tcBorders>
              <w:top w:val="single" w:sz="1" w:space="0" w:color="C7C7C7"/>
              <w:left w:val="single" w:sz="1" w:space="0" w:color="C7C7C7"/>
              <w:bottom w:val="single" w:sz="1" w:space="0" w:color="C7C7C7"/>
              <w:right w:val="single" w:sz="1" w:space="0" w:color="C7C7C7"/>
            </w:tcBorders>
            <w:shd w:val="clear" w:color="auto" w:fill="C6E0B4"/>
            <w:tcMar>
              <w:top w:w="45" w:type="dxa"/>
              <w:left w:w="80" w:type="dxa"/>
              <w:bottom w:w="45" w:type="dxa"/>
              <w:right w:w="80" w:type="dxa"/>
            </w:tcMar>
          </w:tcPr>
          <w:p w14:paraId="0D7AB71F" w14:textId="77777777" w:rsidR="00614CC5" w:rsidRDefault="00614CC5"/>
        </w:tc>
        <w:tc>
          <w:tcPr>
            <w:tcW w:w="2600" w:type="dxa"/>
            <w:tcBorders>
              <w:top w:val="single" w:sz="1" w:space="0" w:color="C7C7C7"/>
              <w:left w:val="single" w:sz="1" w:space="0" w:color="C7C7C7"/>
              <w:bottom w:val="single" w:sz="1" w:space="0" w:color="C7C7C7"/>
              <w:right w:val="single" w:sz="1" w:space="0" w:color="C7C7C7"/>
            </w:tcBorders>
            <w:shd w:val="clear" w:color="auto" w:fill="F4B7B0"/>
            <w:tcMar>
              <w:top w:w="45" w:type="dxa"/>
              <w:left w:w="80" w:type="dxa"/>
              <w:bottom w:w="45" w:type="dxa"/>
              <w:right w:w="80" w:type="dxa"/>
            </w:tcMar>
          </w:tcPr>
          <w:p w14:paraId="37CFC8CC" w14:textId="77777777" w:rsidR="00614CC5" w:rsidRDefault="00000000">
            <w:r>
              <w:rPr>
                <w:b/>
                <w:bCs/>
                <w:color w:val="222222"/>
                <w:sz w:val="17"/>
                <w:szCs w:val="17"/>
              </w:rPr>
              <w:t>R-02</w:t>
            </w:r>
          </w:p>
        </w:tc>
        <w:tc>
          <w:tcPr>
            <w:tcW w:w="2600" w:type="dxa"/>
            <w:tcBorders>
              <w:top w:val="single" w:sz="1" w:space="0" w:color="C7C7C7"/>
              <w:left w:val="single" w:sz="1" w:space="0" w:color="C7C7C7"/>
              <w:bottom w:val="single" w:sz="1" w:space="0" w:color="C7C7C7"/>
              <w:right w:val="single" w:sz="1" w:space="0" w:color="C7C7C7"/>
            </w:tcBorders>
            <w:shd w:val="clear" w:color="auto" w:fill="F4B7B0"/>
            <w:tcMar>
              <w:top w:w="45" w:type="dxa"/>
              <w:left w:w="80" w:type="dxa"/>
              <w:bottom w:w="45" w:type="dxa"/>
              <w:right w:w="80" w:type="dxa"/>
            </w:tcMar>
          </w:tcPr>
          <w:p w14:paraId="39571E37" w14:textId="77777777" w:rsidR="00614CC5" w:rsidRDefault="00000000">
            <w:r>
              <w:rPr>
                <w:b/>
                <w:bCs/>
                <w:color w:val="222222"/>
                <w:sz w:val="17"/>
                <w:szCs w:val="17"/>
              </w:rPr>
              <w:t>R-01</w:t>
            </w:r>
          </w:p>
        </w:tc>
      </w:tr>
      <w:tr w:rsidR="00614CC5" w14:paraId="64E34022" w14:textId="77777777">
        <w:tblPrEx>
          <w:tblCellMar>
            <w:top w:w="0" w:type="dxa"/>
            <w:bottom w:w="0" w:type="dxa"/>
          </w:tblCellMar>
        </w:tblPrEx>
        <w:tc>
          <w:tcPr>
            <w:tcW w:w="156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49E948B0" w14:textId="77777777" w:rsidR="00614CC5" w:rsidRDefault="00000000">
            <w:r>
              <w:rPr>
                <w:b/>
                <w:bCs/>
                <w:color w:val="222222"/>
                <w:sz w:val="17"/>
                <w:szCs w:val="17"/>
              </w:rPr>
              <w:t>Possible (3)</w:t>
            </w:r>
          </w:p>
        </w:tc>
        <w:tc>
          <w:tcPr>
            <w:tcW w:w="2600" w:type="dxa"/>
            <w:tcBorders>
              <w:top w:val="single" w:sz="1" w:space="0" w:color="C7C7C7"/>
              <w:left w:val="single" w:sz="1" w:space="0" w:color="C7C7C7"/>
              <w:bottom w:val="single" w:sz="1" w:space="0" w:color="C7C7C7"/>
              <w:right w:val="single" w:sz="1" w:space="0" w:color="C7C7C7"/>
            </w:tcBorders>
            <w:shd w:val="clear" w:color="auto" w:fill="FCE4A6"/>
            <w:tcMar>
              <w:top w:w="45" w:type="dxa"/>
              <w:left w:w="80" w:type="dxa"/>
              <w:bottom w:w="45" w:type="dxa"/>
              <w:right w:w="80" w:type="dxa"/>
            </w:tcMar>
          </w:tcPr>
          <w:p w14:paraId="15966321" w14:textId="77777777" w:rsidR="00614CC5" w:rsidRDefault="00000000">
            <w:r>
              <w:rPr>
                <w:b/>
                <w:bCs/>
                <w:color w:val="222222"/>
                <w:sz w:val="17"/>
                <w:szCs w:val="17"/>
              </w:rPr>
              <w:t>R-04, R-05</w:t>
            </w:r>
          </w:p>
        </w:tc>
        <w:tc>
          <w:tcPr>
            <w:tcW w:w="2600" w:type="dxa"/>
            <w:tcBorders>
              <w:top w:val="single" w:sz="1" w:space="0" w:color="C7C7C7"/>
              <w:left w:val="single" w:sz="1" w:space="0" w:color="C7C7C7"/>
              <w:bottom w:val="single" w:sz="1" w:space="0" w:color="C7C7C7"/>
              <w:right w:val="single" w:sz="1" w:space="0" w:color="C7C7C7"/>
            </w:tcBorders>
            <w:shd w:val="clear" w:color="auto" w:fill="FCE4A6"/>
            <w:tcMar>
              <w:top w:w="45" w:type="dxa"/>
              <w:left w:w="80" w:type="dxa"/>
              <w:bottom w:w="45" w:type="dxa"/>
              <w:right w:w="80" w:type="dxa"/>
            </w:tcMar>
          </w:tcPr>
          <w:p w14:paraId="45659EA3" w14:textId="77777777" w:rsidR="00614CC5" w:rsidRDefault="00614CC5"/>
        </w:tc>
        <w:tc>
          <w:tcPr>
            <w:tcW w:w="2600" w:type="dxa"/>
            <w:tcBorders>
              <w:top w:val="single" w:sz="1" w:space="0" w:color="C7C7C7"/>
              <w:left w:val="single" w:sz="1" w:space="0" w:color="C7C7C7"/>
              <w:bottom w:val="single" w:sz="1" w:space="0" w:color="C7C7C7"/>
              <w:right w:val="single" w:sz="1" w:space="0" w:color="C7C7C7"/>
            </w:tcBorders>
            <w:shd w:val="clear" w:color="auto" w:fill="F4B7B0"/>
            <w:tcMar>
              <w:top w:w="45" w:type="dxa"/>
              <w:left w:w="80" w:type="dxa"/>
              <w:bottom w:w="45" w:type="dxa"/>
              <w:right w:w="80" w:type="dxa"/>
            </w:tcMar>
          </w:tcPr>
          <w:p w14:paraId="6683AF26" w14:textId="77777777" w:rsidR="00614CC5" w:rsidRDefault="00000000">
            <w:r>
              <w:rPr>
                <w:b/>
                <w:bCs/>
                <w:color w:val="222222"/>
                <w:sz w:val="17"/>
                <w:szCs w:val="17"/>
              </w:rPr>
              <w:t>R-03</w:t>
            </w:r>
          </w:p>
        </w:tc>
      </w:tr>
      <w:tr w:rsidR="00614CC5" w14:paraId="31D552F0" w14:textId="77777777">
        <w:tblPrEx>
          <w:tblCellMar>
            <w:top w:w="0" w:type="dxa"/>
            <w:bottom w:w="0" w:type="dxa"/>
          </w:tblCellMar>
        </w:tblPrEx>
        <w:tc>
          <w:tcPr>
            <w:tcW w:w="156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7D2057CD" w14:textId="77777777" w:rsidR="00614CC5" w:rsidRDefault="00000000">
            <w:r>
              <w:rPr>
                <w:b/>
                <w:bCs/>
                <w:color w:val="222222"/>
                <w:sz w:val="17"/>
                <w:szCs w:val="17"/>
              </w:rPr>
              <w:t>Unlikely (2)</w:t>
            </w:r>
          </w:p>
        </w:tc>
        <w:tc>
          <w:tcPr>
            <w:tcW w:w="2600" w:type="dxa"/>
            <w:tcBorders>
              <w:top w:val="single" w:sz="1" w:space="0" w:color="C7C7C7"/>
              <w:left w:val="single" w:sz="1" w:space="0" w:color="C7C7C7"/>
              <w:bottom w:val="single" w:sz="1" w:space="0" w:color="C7C7C7"/>
              <w:right w:val="single" w:sz="1" w:space="0" w:color="C7C7C7"/>
            </w:tcBorders>
            <w:shd w:val="clear" w:color="auto" w:fill="C6E0B4"/>
            <w:tcMar>
              <w:top w:w="45" w:type="dxa"/>
              <w:left w:w="80" w:type="dxa"/>
              <w:bottom w:w="45" w:type="dxa"/>
              <w:right w:w="80" w:type="dxa"/>
            </w:tcMar>
          </w:tcPr>
          <w:p w14:paraId="5CD5528D" w14:textId="77777777" w:rsidR="00614CC5" w:rsidRDefault="00614CC5"/>
        </w:tc>
        <w:tc>
          <w:tcPr>
            <w:tcW w:w="2600" w:type="dxa"/>
            <w:tcBorders>
              <w:top w:val="single" w:sz="1" w:space="0" w:color="C7C7C7"/>
              <w:left w:val="single" w:sz="1" w:space="0" w:color="C7C7C7"/>
              <w:bottom w:val="single" w:sz="1" w:space="0" w:color="C7C7C7"/>
              <w:right w:val="single" w:sz="1" w:space="0" w:color="C7C7C7"/>
            </w:tcBorders>
            <w:shd w:val="clear" w:color="auto" w:fill="C6E0B4"/>
            <w:tcMar>
              <w:top w:w="45" w:type="dxa"/>
              <w:left w:w="80" w:type="dxa"/>
              <w:bottom w:w="45" w:type="dxa"/>
              <w:right w:w="80" w:type="dxa"/>
            </w:tcMar>
          </w:tcPr>
          <w:p w14:paraId="7ECCC775" w14:textId="77777777" w:rsidR="00614CC5" w:rsidRDefault="00614CC5"/>
        </w:tc>
        <w:tc>
          <w:tcPr>
            <w:tcW w:w="2600" w:type="dxa"/>
            <w:tcBorders>
              <w:top w:val="single" w:sz="1" w:space="0" w:color="C7C7C7"/>
              <w:left w:val="single" w:sz="1" w:space="0" w:color="C7C7C7"/>
              <w:bottom w:val="single" w:sz="1" w:space="0" w:color="C7C7C7"/>
              <w:right w:val="single" w:sz="1" w:space="0" w:color="C7C7C7"/>
            </w:tcBorders>
            <w:shd w:val="clear" w:color="auto" w:fill="FCE4A6"/>
            <w:tcMar>
              <w:top w:w="45" w:type="dxa"/>
              <w:left w:w="80" w:type="dxa"/>
              <w:bottom w:w="45" w:type="dxa"/>
              <w:right w:w="80" w:type="dxa"/>
            </w:tcMar>
          </w:tcPr>
          <w:p w14:paraId="110CC459" w14:textId="77777777" w:rsidR="00614CC5" w:rsidRDefault="00614CC5"/>
        </w:tc>
      </w:tr>
    </w:tbl>
    <w:p w14:paraId="5FDB9B66" w14:textId="77777777" w:rsidR="00614CC5" w:rsidRDefault="00000000">
      <w:r>
        <w:br w:type="page"/>
      </w:r>
    </w:p>
    <w:p w14:paraId="06E58C92" w14:textId="77777777" w:rsidR="00614CC5" w:rsidRDefault="00000000">
      <w:pPr>
        <w:pStyle w:val="Heading1"/>
      </w:pPr>
      <w:bookmarkStart w:id="5" w:name="_Toc235738914"/>
      <w:r>
        <w:lastRenderedPageBreak/>
        <w:t>4. Part 3 — Risk Treatment Plan</w:t>
      </w:r>
      <w:bookmarkEnd w:id="5"/>
    </w:p>
    <w:p w14:paraId="2F4E81D3" w14:textId="77777777" w:rsidR="00614CC5" w:rsidRDefault="00000000">
      <w:pPr>
        <w:spacing w:after="120" w:line="288" w:lineRule="auto"/>
        <w:jc w:val="both"/>
      </w:pPr>
      <w:r>
        <w:t>For each major risk, controls are grouped as preventive (stop it), detective (spot it), and corrective (recover), then mapped to frameworks. This defense-in-depth approach reflects that no single control is fully foolproof.</w:t>
      </w:r>
    </w:p>
    <w:p w14:paraId="71D74BBF" w14:textId="77777777" w:rsidR="00614CC5" w:rsidRDefault="00000000">
      <w:pPr>
        <w:pStyle w:val="Heading2"/>
      </w:pPr>
      <w:r>
        <w:t>4.1 R-01 Ransomware / Unauthorized Access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00"/>
        <w:gridCol w:w="7460"/>
      </w:tblGrid>
      <w:tr w:rsidR="00614CC5" w14:paraId="7C459CC6" w14:textId="77777777">
        <w:tblPrEx>
          <w:tblCellMar>
            <w:top w:w="0" w:type="dxa"/>
            <w:bottom w:w="0" w:type="dxa"/>
          </w:tblCellMar>
        </w:tblPrEx>
        <w:trPr>
          <w:tblHeader/>
        </w:trPr>
        <w:tc>
          <w:tcPr>
            <w:tcW w:w="190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6B81E541" w14:textId="77777777" w:rsidR="00614CC5" w:rsidRDefault="00000000">
            <w:r>
              <w:rPr>
                <w:b/>
                <w:bCs/>
                <w:color w:val="FFFFFF"/>
                <w:sz w:val="17"/>
                <w:szCs w:val="17"/>
              </w:rPr>
              <w:t>Layer</w:t>
            </w:r>
          </w:p>
        </w:tc>
        <w:tc>
          <w:tcPr>
            <w:tcW w:w="746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7144ED04" w14:textId="77777777" w:rsidR="00614CC5" w:rsidRDefault="00000000">
            <w:r>
              <w:rPr>
                <w:b/>
                <w:bCs/>
                <w:color w:val="FFFFFF"/>
                <w:sz w:val="17"/>
                <w:szCs w:val="17"/>
              </w:rPr>
              <w:t>Controls</w:t>
            </w:r>
          </w:p>
        </w:tc>
      </w:tr>
      <w:tr w:rsidR="00614CC5" w14:paraId="02D2C770" w14:textId="77777777">
        <w:tblPrEx>
          <w:tblCellMar>
            <w:top w:w="0" w:type="dxa"/>
            <w:bottom w:w="0" w:type="dxa"/>
          </w:tblCellMar>
        </w:tblPrEx>
        <w:tc>
          <w:tcPr>
            <w:tcW w:w="190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159C4E8B" w14:textId="77777777" w:rsidR="00614CC5" w:rsidRDefault="00000000">
            <w:r>
              <w:rPr>
                <w:b/>
                <w:bCs/>
                <w:color w:val="222222"/>
                <w:sz w:val="17"/>
                <w:szCs w:val="17"/>
              </w:rPr>
              <w:t>Preventive</w:t>
            </w:r>
          </w:p>
        </w:tc>
        <w:tc>
          <w:tcPr>
            <w:tcW w:w="746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287DF2A7" w14:textId="77777777" w:rsidR="00614CC5" w:rsidRDefault="00000000">
            <w:r>
              <w:rPr>
                <w:color w:val="222222"/>
                <w:sz w:val="17"/>
                <w:szCs w:val="17"/>
              </w:rPr>
              <w:t>Mandatory MFA and strong passwords; role-based access control; restrict API-key permissions; quarterly access reviews.</w:t>
            </w:r>
          </w:p>
        </w:tc>
      </w:tr>
      <w:tr w:rsidR="00614CC5" w14:paraId="0C6DFEC2" w14:textId="77777777">
        <w:tblPrEx>
          <w:tblCellMar>
            <w:top w:w="0" w:type="dxa"/>
            <w:bottom w:w="0" w:type="dxa"/>
          </w:tblCellMar>
        </w:tblPrEx>
        <w:tc>
          <w:tcPr>
            <w:tcW w:w="190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6B39D433" w14:textId="77777777" w:rsidR="00614CC5" w:rsidRDefault="00000000">
            <w:r>
              <w:rPr>
                <w:b/>
                <w:bCs/>
                <w:color w:val="222222"/>
                <w:sz w:val="17"/>
                <w:szCs w:val="17"/>
              </w:rPr>
              <w:t>Detective</w:t>
            </w:r>
          </w:p>
        </w:tc>
        <w:tc>
          <w:tcPr>
            <w:tcW w:w="746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248E916E" w14:textId="77777777" w:rsidR="00614CC5" w:rsidRDefault="00000000">
            <w:r>
              <w:rPr>
                <w:color w:val="222222"/>
                <w:sz w:val="17"/>
                <w:szCs w:val="17"/>
              </w:rPr>
              <w:t>SIEM alerts and login monitoring; User &amp; Entity Behavior Analytics (UEBA); IDS and EDR.</w:t>
            </w:r>
          </w:p>
        </w:tc>
      </w:tr>
      <w:tr w:rsidR="00614CC5" w14:paraId="3F6186BB" w14:textId="77777777">
        <w:tblPrEx>
          <w:tblCellMar>
            <w:top w:w="0" w:type="dxa"/>
            <w:bottom w:w="0" w:type="dxa"/>
          </w:tblCellMar>
        </w:tblPrEx>
        <w:tc>
          <w:tcPr>
            <w:tcW w:w="190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72D30B20" w14:textId="77777777" w:rsidR="00614CC5" w:rsidRDefault="00000000">
            <w:r>
              <w:rPr>
                <w:b/>
                <w:bCs/>
                <w:color w:val="222222"/>
                <w:sz w:val="17"/>
                <w:szCs w:val="17"/>
              </w:rPr>
              <w:t>Corrective</w:t>
            </w:r>
          </w:p>
        </w:tc>
        <w:tc>
          <w:tcPr>
            <w:tcW w:w="746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255EC2BD" w14:textId="77777777" w:rsidR="00614CC5" w:rsidRDefault="00000000">
            <w:r>
              <w:rPr>
                <w:color w:val="222222"/>
                <w:sz w:val="17"/>
                <w:szCs w:val="17"/>
              </w:rPr>
              <w:t>Automated session termination; backup and disaster recovery; post-incident forensics.</w:t>
            </w:r>
          </w:p>
        </w:tc>
      </w:tr>
    </w:tbl>
    <w:p w14:paraId="1B7A8502" w14:textId="77777777" w:rsidR="00614CC5" w:rsidRDefault="00000000">
      <w:pPr>
        <w:spacing w:after="120" w:line="288" w:lineRule="auto"/>
        <w:jc w:val="both"/>
      </w:pPr>
      <w:r>
        <w:rPr>
          <w:b/>
          <w:bCs/>
        </w:rPr>
        <w:t xml:space="preserve">Why it works: </w:t>
      </w:r>
      <w:r>
        <w:rPr>
          <w:i/>
          <w:iCs/>
        </w:rPr>
        <w:t>Combining MFA, login monitoring, and automated session termination handles this risk well because no single control is 100% foolproof.</w:t>
      </w:r>
    </w:p>
    <w:p w14:paraId="464D65BC" w14:textId="77777777" w:rsidR="00614CC5" w:rsidRDefault="00000000">
      <w:pPr>
        <w:spacing w:after="120" w:line="288" w:lineRule="auto"/>
        <w:jc w:val="both"/>
      </w:pPr>
      <w:r>
        <w:rPr>
          <w:b/>
          <w:bCs/>
        </w:rPr>
        <w:t xml:space="preserve">Frameworks: </w:t>
      </w:r>
      <w:r>
        <w:t>ISO/IEC 27001 &amp; 27005; CIS Controls 5 &amp; 6; NIST SP 800-53; NIST CSF PR.AA.</w:t>
      </w:r>
    </w:p>
    <w:p w14:paraId="2244A621" w14:textId="77777777" w:rsidR="00614CC5" w:rsidRDefault="00000000">
      <w:pPr>
        <w:pStyle w:val="Heading2"/>
      </w:pPr>
      <w:r>
        <w:t>4.2 R-02 Endpoint Phishing &amp; Malware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00"/>
        <w:gridCol w:w="7460"/>
      </w:tblGrid>
      <w:tr w:rsidR="00614CC5" w14:paraId="59C60941" w14:textId="77777777">
        <w:tblPrEx>
          <w:tblCellMar>
            <w:top w:w="0" w:type="dxa"/>
            <w:bottom w:w="0" w:type="dxa"/>
          </w:tblCellMar>
        </w:tblPrEx>
        <w:trPr>
          <w:tblHeader/>
        </w:trPr>
        <w:tc>
          <w:tcPr>
            <w:tcW w:w="190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3EA608BE" w14:textId="77777777" w:rsidR="00614CC5" w:rsidRDefault="00000000">
            <w:r>
              <w:rPr>
                <w:b/>
                <w:bCs/>
                <w:color w:val="FFFFFF"/>
                <w:sz w:val="17"/>
                <w:szCs w:val="17"/>
              </w:rPr>
              <w:t>Layer</w:t>
            </w:r>
          </w:p>
        </w:tc>
        <w:tc>
          <w:tcPr>
            <w:tcW w:w="746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02AA492E" w14:textId="77777777" w:rsidR="00614CC5" w:rsidRDefault="00000000">
            <w:r>
              <w:rPr>
                <w:b/>
                <w:bCs/>
                <w:color w:val="FFFFFF"/>
                <w:sz w:val="17"/>
                <w:szCs w:val="17"/>
              </w:rPr>
              <w:t>Controls</w:t>
            </w:r>
          </w:p>
        </w:tc>
      </w:tr>
      <w:tr w:rsidR="00614CC5" w14:paraId="42906FE6" w14:textId="77777777">
        <w:tblPrEx>
          <w:tblCellMar>
            <w:top w:w="0" w:type="dxa"/>
            <w:bottom w:w="0" w:type="dxa"/>
          </w:tblCellMar>
        </w:tblPrEx>
        <w:tc>
          <w:tcPr>
            <w:tcW w:w="190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1D5DEE84" w14:textId="77777777" w:rsidR="00614CC5" w:rsidRDefault="00000000">
            <w:r>
              <w:rPr>
                <w:b/>
                <w:bCs/>
                <w:color w:val="222222"/>
                <w:sz w:val="17"/>
                <w:szCs w:val="17"/>
              </w:rPr>
              <w:t>Preventive</w:t>
            </w:r>
          </w:p>
        </w:tc>
        <w:tc>
          <w:tcPr>
            <w:tcW w:w="746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3793F7A6" w14:textId="77777777" w:rsidR="00614CC5" w:rsidRDefault="00000000">
            <w:r>
              <w:rPr>
                <w:color w:val="222222"/>
                <w:sz w:val="17"/>
                <w:szCs w:val="17"/>
              </w:rPr>
              <w:t xml:space="preserve">Automated OS and third-party patch management; full-disk encryption (Intune BitLocker / </w:t>
            </w:r>
            <w:proofErr w:type="spellStart"/>
            <w:r>
              <w:rPr>
                <w:color w:val="222222"/>
                <w:sz w:val="17"/>
                <w:szCs w:val="17"/>
              </w:rPr>
              <w:t>FileVault</w:t>
            </w:r>
            <w:proofErr w:type="spellEnd"/>
            <w:r>
              <w:rPr>
                <w:color w:val="222222"/>
                <w:sz w:val="17"/>
                <w:szCs w:val="17"/>
              </w:rPr>
              <w:t>); revoke local-admin rights; antivirus and application allowlisting; email filtering and user-awareness training.</w:t>
            </w:r>
          </w:p>
        </w:tc>
      </w:tr>
      <w:tr w:rsidR="00614CC5" w14:paraId="61257F21" w14:textId="77777777">
        <w:tblPrEx>
          <w:tblCellMar>
            <w:top w:w="0" w:type="dxa"/>
            <w:bottom w:w="0" w:type="dxa"/>
          </w:tblCellMar>
        </w:tblPrEx>
        <w:tc>
          <w:tcPr>
            <w:tcW w:w="190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3A21A72B" w14:textId="77777777" w:rsidR="00614CC5" w:rsidRDefault="00000000">
            <w:r>
              <w:rPr>
                <w:b/>
                <w:bCs/>
                <w:color w:val="222222"/>
                <w:sz w:val="17"/>
                <w:szCs w:val="17"/>
              </w:rPr>
              <w:t>Detective</w:t>
            </w:r>
          </w:p>
        </w:tc>
        <w:tc>
          <w:tcPr>
            <w:tcW w:w="746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3816E394" w14:textId="77777777" w:rsidR="00614CC5" w:rsidRDefault="00000000">
            <w:r>
              <w:rPr>
                <w:color w:val="222222"/>
                <w:sz w:val="17"/>
                <w:szCs w:val="17"/>
              </w:rPr>
              <w:t>EDR monitoring and alerts; abnormal-file-activity detection; SIEM; email-gateway alerts; simulated phishing.</w:t>
            </w:r>
          </w:p>
        </w:tc>
      </w:tr>
      <w:tr w:rsidR="00614CC5" w14:paraId="3BA8FE0C" w14:textId="77777777">
        <w:tblPrEx>
          <w:tblCellMar>
            <w:top w:w="0" w:type="dxa"/>
            <w:bottom w:w="0" w:type="dxa"/>
          </w:tblCellMar>
        </w:tblPrEx>
        <w:tc>
          <w:tcPr>
            <w:tcW w:w="190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768AF112" w14:textId="77777777" w:rsidR="00614CC5" w:rsidRDefault="00000000">
            <w:r>
              <w:rPr>
                <w:b/>
                <w:bCs/>
                <w:color w:val="222222"/>
                <w:sz w:val="17"/>
                <w:szCs w:val="17"/>
              </w:rPr>
              <w:t>Corrective</w:t>
            </w:r>
          </w:p>
        </w:tc>
        <w:tc>
          <w:tcPr>
            <w:tcW w:w="746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4B4F48CF" w14:textId="77777777" w:rsidR="00614CC5" w:rsidRDefault="00000000">
            <w:r>
              <w:rPr>
                <w:color w:val="222222"/>
                <w:sz w:val="17"/>
                <w:szCs w:val="17"/>
              </w:rPr>
              <w:t>Isolate infected systems; remove malware; restore from backups; patch vulnerabilities; reset compromised accounts.</w:t>
            </w:r>
          </w:p>
        </w:tc>
      </w:tr>
    </w:tbl>
    <w:p w14:paraId="5D26EBD3" w14:textId="77777777" w:rsidR="00614CC5" w:rsidRDefault="00000000">
      <w:pPr>
        <w:spacing w:after="120" w:line="288" w:lineRule="auto"/>
        <w:jc w:val="both"/>
      </w:pPr>
      <w:r>
        <w:rPr>
          <w:b/>
          <w:bCs/>
        </w:rPr>
        <w:t xml:space="preserve">Why it works: </w:t>
      </w:r>
      <w:r>
        <w:rPr>
          <w:i/>
          <w:iCs/>
        </w:rPr>
        <w:t>Application allowlisting prevents unauthorized executables from running, while immediate host isolation prevents malware spreading across the network.</w:t>
      </w:r>
    </w:p>
    <w:p w14:paraId="3931D2D9" w14:textId="77777777" w:rsidR="00614CC5" w:rsidRDefault="00000000">
      <w:pPr>
        <w:spacing w:after="120" w:line="288" w:lineRule="auto"/>
        <w:jc w:val="both"/>
      </w:pPr>
      <w:r>
        <w:rPr>
          <w:b/>
          <w:bCs/>
        </w:rPr>
        <w:t xml:space="preserve">Frameworks: </w:t>
      </w:r>
      <w:r>
        <w:t>ISO/IEC 27001/27002/27005; NIST CSF PR.PT &amp; DE.CM; NIST SP 800-53 SI &amp; AT; CIS Controls 7, 9, 10 &amp; 14.</w:t>
      </w:r>
    </w:p>
    <w:p w14:paraId="47729677" w14:textId="77777777" w:rsidR="00614CC5" w:rsidRDefault="00000000">
      <w:pPr>
        <w:pStyle w:val="Heading2"/>
      </w:pPr>
      <w:r>
        <w:t>4.3 R-03 Ransomware Reaching Backups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00"/>
        <w:gridCol w:w="7460"/>
      </w:tblGrid>
      <w:tr w:rsidR="00614CC5" w14:paraId="4384C5B0" w14:textId="77777777">
        <w:tblPrEx>
          <w:tblCellMar>
            <w:top w:w="0" w:type="dxa"/>
            <w:bottom w:w="0" w:type="dxa"/>
          </w:tblCellMar>
        </w:tblPrEx>
        <w:trPr>
          <w:tblHeader/>
        </w:trPr>
        <w:tc>
          <w:tcPr>
            <w:tcW w:w="190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12031F96" w14:textId="77777777" w:rsidR="00614CC5" w:rsidRDefault="00000000">
            <w:r>
              <w:rPr>
                <w:b/>
                <w:bCs/>
                <w:color w:val="FFFFFF"/>
                <w:sz w:val="17"/>
                <w:szCs w:val="17"/>
              </w:rPr>
              <w:t>Layer</w:t>
            </w:r>
          </w:p>
        </w:tc>
        <w:tc>
          <w:tcPr>
            <w:tcW w:w="746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1CDF747E" w14:textId="77777777" w:rsidR="00614CC5" w:rsidRDefault="00000000">
            <w:r>
              <w:rPr>
                <w:b/>
                <w:bCs/>
                <w:color w:val="FFFFFF"/>
                <w:sz w:val="17"/>
                <w:szCs w:val="17"/>
              </w:rPr>
              <w:t>Controls</w:t>
            </w:r>
          </w:p>
        </w:tc>
      </w:tr>
      <w:tr w:rsidR="00614CC5" w14:paraId="2BBADB83" w14:textId="77777777">
        <w:tblPrEx>
          <w:tblCellMar>
            <w:top w:w="0" w:type="dxa"/>
            <w:bottom w:w="0" w:type="dxa"/>
          </w:tblCellMar>
        </w:tblPrEx>
        <w:tc>
          <w:tcPr>
            <w:tcW w:w="190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57A0C874" w14:textId="77777777" w:rsidR="00614CC5" w:rsidRDefault="00000000">
            <w:r>
              <w:rPr>
                <w:b/>
                <w:bCs/>
                <w:color w:val="222222"/>
                <w:sz w:val="17"/>
                <w:szCs w:val="17"/>
              </w:rPr>
              <w:t>Preventive</w:t>
            </w:r>
          </w:p>
        </w:tc>
        <w:tc>
          <w:tcPr>
            <w:tcW w:w="746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4E36E9F9" w14:textId="77777777" w:rsidR="00614CC5" w:rsidRDefault="00000000">
            <w:r>
              <w:rPr>
                <w:color w:val="222222"/>
                <w:sz w:val="17"/>
                <w:szCs w:val="17"/>
              </w:rPr>
              <w:t>Immutable cloud backups (WORM storage); regular offline backups; patch management; network segmentation; MFA.</w:t>
            </w:r>
          </w:p>
        </w:tc>
      </w:tr>
      <w:tr w:rsidR="00614CC5" w14:paraId="2801B923" w14:textId="77777777">
        <w:tblPrEx>
          <w:tblCellMar>
            <w:top w:w="0" w:type="dxa"/>
            <w:bottom w:w="0" w:type="dxa"/>
          </w:tblCellMar>
        </w:tblPrEx>
        <w:tc>
          <w:tcPr>
            <w:tcW w:w="190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3A83F334" w14:textId="77777777" w:rsidR="00614CC5" w:rsidRDefault="00000000">
            <w:r>
              <w:rPr>
                <w:b/>
                <w:bCs/>
                <w:color w:val="222222"/>
                <w:sz w:val="17"/>
                <w:szCs w:val="17"/>
              </w:rPr>
              <w:t>Detective</w:t>
            </w:r>
          </w:p>
        </w:tc>
        <w:tc>
          <w:tcPr>
            <w:tcW w:w="746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7315D7B9" w14:textId="77777777" w:rsidR="00614CC5" w:rsidRDefault="00000000">
            <w:r>
              <w:rPr>
                <w:color w:val="222222"/>
                <w:sz w:val="17"/>
                <w:szCs w:val="17"/>
              </w:rPr>
              <w:t>Abnormal-file-activity and ransomware detection; SIEM monitoring.</w:t>
            </w:r>
          </w:p>
        </w:tc>
      </w:tr>
      <w:tr w:rsidR="00614CC5" w14:paraId="4877C9BC" w14:textId="77777777">
        <w:tblPrEx>
          <w:tblCellMar>
            <w:top w:w="0" w:type="dxa"/>
            <w:bottom w:w="0" w:type="dxa"/>
          </w:tblCellMar>
        </w:tblPrEx>
        <w:tc>
          <w:tcPr>
            <w:tcW w:w="190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652840F7" w14:textId="77777777" w:rsidR="00614CC5" w:rsidRDefault="00000000">
            <w:r>
              <w:rPr>
                <w:b/>
                <w:bCs/>
                <w:color w:val="222222"/>
                <w:sz w:val="17"/>
                <w:szCs w:val="17"/>
              </w:rPr>
              <w:t>Corrective</w:t>
            </w:r>
          </w:p>
        </w:tc>
        <w:tc>
          <w:tcPr>
            <w:tcW w:w="746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545127FC" w14:textId="77777777" w:rsidR="00614CC5" w:rsidRDefault="00000000">
            <w:r>
              <w:rPr>
                <w:color w:val="222222"/>
                <w:sz w:val="17"/>
                <w:szCs w:val="17"/>
              </w:rPr>
              <w:t>Perform incident recovery; restore from immutable backup; isolate infected devices; monthly restore tests; cyber-insurance cover.</w:t>
            </w:r>
          </w:p>
        </w:tc>
      </w:tr>
    </w:tbl>
    <w:p w14:paraId="36830D4F" w14:textId="77777777" w:rsidR="00614CC5" w:rsidRDefault="00000000">
      <w:pPr>
        <w:spacing w:after="120" w:line="288" w:lineRule="auto"/>
        <w:jc w:val="both"/>
      </w:pPr>
      <w:r>
        <w:rPr>
          <w:b/>
          <w:bCs/>
        </w:rPr>
        <w:t xml:space="preserve">Why it works: </w:t>
      </w:r>
      <w:r>
        <w:rPr>
          <w:i/>
          <w:iCs/>
        </w:rPr>
        <w:t>Excellent, immutable backups ensure operational resilience and minimize any need to pay ransom, while EDR catches zero-day attacks quickly.</w:t>
      </w:r>
    </w:p>
    <w:p w14:paraId="5CA26BA3" w14:textId="77777777" w:rsidR="00614CC5" w:rsidRDefault="00000000">
      <w:pPr>
        <w:spacing w:after="120" w:line="288" w:lineRule="auto"/>
        <w:jc w:val="both"/>
      </w:pPr>
      <w:r>
        <w:rPr>
          <w:b/>
          <w:bCs/>
        </w:rPr>
        <w:t xml:space="preserve">Frameworks: </w:t>
      </w:r>
      <w:r>
        <w:t xml:space="preserve">ISO/IEC 27001/27002/27005; NIST CSF </w:t>
      </w:r>
      <w:proofErr w:type="gramStart"/>
      <w:r>
        <w:t>PR.IP</w:t>
      </w:r>
      <w:proofErr w:type="gramEnd"/>
      <w:r>
        <w:t>; NIST SP 800-53 CP; CIS Controls 7, 11 &amp; 13.</w:t>
      </w:r>
    </w:p>
    <w:p w14:paraId="5E08212F" w14:textId="77777777" w:rsidR="00614CC5" w:rsidRDefault="00000000">
      <w:pPr>
        <w:pStyle w:val="Heading2"/>
      </w:pPr>
      <w:r>
        <w:t>4.4 R-04 Insider Misuse / Corporate Espionage (AI Research)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00"/>
        <w:gridCol w:w="7460"/>
      </w:tblGrid>
      <w:tr w:rsidR="00614CC5" w14:paraId="393A8CB2" w14:textId="77777777">
        <w:tblPrEx>
          <w:tblCellMar>
            <w:top w:w="0" w:type="dxa"/>
            <w:bottom w:w="0" w:type="dxa"/>
          </w:tblCellMar>
        </w:tblPrEx>
        <w:trPr>
          <w:tblHeader/>
        </w:trPr>
        <w:tc>
          <w:tcPr>
            <w:tcW w:w="190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78EDE129" w14:textId="77777777" w:rsidR="00614CC5" w:rsidRDefault="00000000">
            <w:r>
              <w:rPr>
                <w:b/>
                <w:bCs/>
                <w:color w:val="FFFFFF"/>
                <w:sz w:val="17"/>
                <w:szCs w:val="17"/>
              </w:rPr>
              <w:t>Layer</w:t>
            </w:r>
          </w:p>
        </w:tc>
        <w:tc>
          <w:tcPr>
            <w:tcW w:w="746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58E3E0F9" w14:textId="77777777" w:rsidR="00614CC5" w:rsidRDefault="00000000">
            <w:r>
              <w:rPr>
                <w:b/>
                <w:bCs/>
                <w:color w:val="FFFFFF"/>
                <w:sz w:val="17"/>
                <w:szCs w:val="17"/>
              </w:rPr>
              <w:t>Controls</w:t>
            </w:r>
          </w:p>
        </w:tc>
      </w:tr>
      <w:tr w:rsidR="00614CC5" w14:paraId="268B5593" w14:textId="77777777">
        <w:tblPrEx>
          <w:tblCellMar>
            <w:top w:w="0" w:type="dxa"/>
            <w:bottom w:w="0" w:type="dxa"/>
          </w:tblCellMar>
        </w:tblPrEx>
        <w:tc>
          <w:tcPr>
            <w:tcW w:w="190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16345325" w14:textId="77777777" w:rsidR="00614CC5" w:rsidRDefault="00000000">
            <w:r>
              <w:rPr>
                <w:b/>
                <w:bCs/>
                <w:color w:val="222222"/>
                <w:sz w:val="17"/>
                <w:szCs w:val="17"/>
              </w:rPr>
              <w:t>Preventive</w:t>
            </w:r>
          </w:p>
        </w:tc>
        <w:tc>
          <w:tcPr>
            <w:tcW w:w="746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70667B0B" w14:textId="77777777" w:rsidR="00614CC5" w:rsidRDefault="00000000">
            <w:r>
              <w:rPr>
                <w:color w:val="222222"/>
                <w:sz w:val="17"/>
                <w:szCs w:val="17"/>
              </w:rPr>
              <w:t>Least privilege and segregation of duties; RBAC; data-loss prevention (DLP); data classification; NDAs and background checks; acceptable-use policy and awareness training.</w:t>
            </w:r>
          </w:p>
        </w:tc>
      </w:tr>
      <w:tr w:rsidR="00614CC5" w14:paraId="1EFC4E9D" w14:textId="77777777">
        <w:tblPrEx>
          <w:tblCellMar>
            <w:top w:w="0" w:type="dxa"/>
            <w:bottom w:w="0" w:type="dxa"/>
          </w:tblCellMar>
        </w:tblPrEx>
        <w:tc>
          <w:tcPr>
            <w:tcW w:w="190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4A5EB68D" w14:textId="77777777" w:rsidR="00614CC5" w:rsidRDefault="00000000">
            <w:r>
              <w:rPr>
                <w:b/>
                <w:bCs/>
                <w:color w:val="222222"/>
                <w:sz w:val="17"/>
                <w:szCs w:val="17"/>
              </w:rPr>
              <w:t>Detective</w:t>
            </w:r>
          </w:p>
        </w:tc>
        <w:tc>
          <w:tcPr>
            <w:tcW w:w="746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2E8E2A5F" w14:textId="77777777" w:rsidR="00614CC5" w:rsidRDefault="00000000">
            <w:r>
              <w:rPr>
                <w:color w:val="222222"/>
                <w:sz w:val="17"/>
                <w:szCs w:val="17"/>
              </w:rPr>
              <w:t>User-activity monitoring; audit logs; UEBA; privileged-access monitoring; DLP alerts.</w:t>
            </w:r>
          </w:p>
        </w:tc>
      </w:tr>
      <w:tr w:rsidR="00614CC5" w14:paraId="738E8AFF" w14:textId="77777777">
        <w:tblPrEx>
          <w:tblCellMar>
            <w:top w:w="0" w:type="dxa"/>
            <w:bottom w:w="0" w:type="dxa"/>
          </w:tblCellMar>
        </w:tblPrEx>
        <w:tc>
          <w:tcPr>
            <w:tcW w:w="190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5060972E" w14:textId="77777777" w:rsidR="00614CC5" w:rsidRDefault="00000000">
            <w:r>
              <w:rPr>
                <w:b/>
                <w:bCs/>
                <w:color w:val="222222"/>
                <w:sz w:val="17"/>
                <w:szCs w:val="17"/>
              </w:rPr>
              <w:lastRenderedPageBreak/>
              <w:t>Corrective</w:t>
            </w:r>
          </w:p>
        </w:tc>
        <w:tc>
          <w:tcPr>
            <w:tcW w:w="746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249497C1" w14:textId="77777777" w:rsidR="00614CC5" w:rsidRDefault="00000000">
            <w:r>
              <w:rPr>
                <w:color w:val="222222"/>
                <w:sz w:val="17"/>
                <w:szCs w:val="17"/>
              </w:rPr>
              <w:t>Suspend or revoke access; investigate; recover altered data; apply disciplinary/legal action; strengthen controls.</w:t>
            </w:r>
          </w:p>
        </w:tc>
      </w:tr>
    </w:tbl>
    <w:p w14:paraId="3E774835" w14:textId="77777777" w:rsidR="00614CC5" w:rsidRDefault="00000000">
      <w:pPr>
        <w:spacing w:after="120" w:line="288" w:lineRule="auto"/>
        <w:jc w:val="both"/>
      </w:pPr>
      <w:r>
        <w:rPr>
          <w:b/>
          <w:bCs/>
        </w:rPr>
        <w:t xml:space="preserve">Why it works: </w:t>
      </w:r>
      <w:r>
        <w:rPr>
          <w:i/>
          <w:iCs/>
        </w:rPr>
        <w:t xml:space="preserve">DLP and encryption ensure that even if sensitive files are </w:t>
      </w:r>
      <w:proofErr w:type="gramStart"/>
      <w:r>
        <w:rPr>
          <w:i/>
          <w:iCs/>
        </w:rPr>
        <w:t>exfiltrated</w:t>
      </w:r>
      <w:proofErr w:type="gramEnd"/>
      <w:r>
        <w:rPr>
          <w:i/>
          <w:iCs/>
        </w:rPr>
        <w:t xml:space="preserve"> they remain unreadable, while segregation of duties prevents any single employee from having full access to critical systems.</w:t>
      </w:r>
    </w:p>
    <w:p w14:paraId="0119DE91" w14:textId="77777777" w:rsidR="00614CC5" w:rsidRDefault="00000000">
      <w:pPr>
        <w:spacing w:after="120" w:line="288" w:lineRule="auto"/>
        <w:jc w:val="both"/>
      </w:pPr>
      <w:r>
        <w:rPr>
          <w:b/>
          <w:bCs/>
        </w:rPr>
        <w:t xml:space="preserve">Frameworks: </w:t>
      </w:r>
      <w:r>
        <w:t>ISO/IEC 27001/27002/27005; NIST CSF PR.DS; NIST SP 800-53 AC, AU, MP &amp; PS; CIS Controls 3, 5, 6 &amp; 8.</w:t>
      </w:r>
    </w:p>
    <w:p w14:paraId="587C14D3" w14:textId="77777777" w:rsidR="00614CC5" w:rsidRDefault="00000000">
      <w:r>
        <w:br w:type="page"/>
      </w:r>
    </w:p>
    <w:p w14:paraId="2B37CCAE" w14:textId="77777777" w:rsidR="00614CC5" w:rsidRDefault="00000000">
      <w:pPr>
        <w:pStyle w:val="Heading1"/>
      </w:pPr>
      <w:bookmarkStart w:id="6" w:name="_Toc235738915"/>
      <w:r>
        <w:lastRenderedPageBreak/>
        <w:t>5. Part 4 — Security Policy &amp; Governance</w:t>
      </w:r>
      <w:bookmarkEnd w:id="6"/>
    </w:p>
    <w:p w14:paraId="16B3EEFA" w14:textId="77777777" w:rsidR="00614CC5" w:rsidRDefault="00000000">
      <w:pPr>
        <w:pStyle w:val="Heading2"/>
      </w:pPr>
      <w:r>
        <w:t>5.1 Policy objectives</w:t>
      </w:r>
    </w:p>
    <w:p w14:paraId="0FE3B667" w14:textId="77777777" w:rsidR="00614CC5" w:rsidRDefault="00000000">
      <w:pPr>
        <w:spacing w:after="120" w:line="288" w:lineRule="auto"/>
        <w:jc w:val="both"/>
      </w:pPr>
      <w:r>
        <w:t>This policy safeguards the organization’s assets, intellectual property, and personal data against evolving threats such as ransomware, corporate espionage, credential theft, and hardware loss. It aims to:</w:t>
      </w:r>
    </w:p>
    <w:p w14:paraId="2DD94F22" w14:textId="77777777" w:rsidR="00614CC5" w:rsidRDefault="00000000">
      <w:pPr>
        <w:pStyle w:val="ListParagraph"/>
        <w:numPr>
          <w:ilvl w:val="0"/>
          <w:numId w:val="2"/>
        </w:numPr>
        <w:spacing w:after="50" w:line="280" w:lineRule="auto"/>
      </w:pPr>
      <w:r>
        <w:rPr>
          <w:b/>
          <w:bCs/>
        </w:rPr>
        <w:t xml:space="preserve">Protect core assets (CIA): </w:t>
      </w:r>
      <w:r>
        <w:t>maintain confidentiality, integrity, and availability of Employee Master Records (AST-001), Workday HRIS (AST-002), HR and Finance endpoints (AST-003/004), AI Research Data (AST-005), and Developer systems (AST-006).</w:t>
      </w:r>
    </w:p>
    <w:p w14:paraId="04BD8A4C" w14:textId="77777777" w:rsidR="00614CC5" w:rsidRDefault="00000000">
      <w:pPr>
        <w:pStyle w:val="ListParagraph"/>
        <w:numPr>
          <w:ilvl w:val="0"/>
          <w:numId w:val="2"/>
        </w:numPr>
        <w:spacing w:after="50" w:line="280" w:lineRule="auto"/>
      </w:pPr>
      <w:r>
        <w:rPr>
          <w:b/>
          <w:bCs/>
        </w:rPr>
        <w:t xml:space="preserve">Strengthen threat mitigation: </w:t>
      </w:r>
      <w:r>
        <w:t>integrate preventive (MFA, RBAC), detective (SIEM, EDR, UEBA), and corrective (backup, incident response) controls.</w:t>
      </w:r>
    </w:p>
    <w:p w14:paraId="766F28E6" w14:textId="77777777" w:rsidR="00614CC5" w:rsidRDefault="00000000">
      <w:pPr>
        <w:pStyle w:val="ListParagraph"/>
        <w:numPr>
          <w:ilvl w:val="0"/>
          <w:numId w:val="2"/>
        </w:numPr>
        <w:spacing w:after="50" w:line="280" w:lineRule="auto"/>
      </w:pPr>
      <w:r>
        <w:rPr>
          <w:b/>
          <w:bCs/>
        </w:rPr>
        <w:t xml:space="preserve">Ensure legal compliance: </w:t>
      </w:r>
      <w:r>
        <w:t>meet obligations under Canadian privacy legislation and applicable international standards.</w:t>
      </w:r>
    </w:p>
    <w:p w14:paraId="2180EE9A" w14:textId="77777777" w:rsidR="00614CC5" w:rsidRDefault="00000000">
      <w:pPr>
        <w:pStyle w:val="ListParagraph"/>
        <w:numPr>
          <w:ilvl w:val="0"/>
          <w:numId w:val="2"/>
        </w:numPr>
        <w:spacing w:after="50" w:line="280" w:lineRule="auto"/>
      </w:pPr>
      <w:r>
        <w:rPr>
          <w:b/>
          <w:bCs/>
        </w:rPr>
        <w:t xml:space="preserve">Align with global standards: </w:t>
      </w:r>
      <w:r>
        <w:t>ISO/IEC 27001/27002/27005, NIST CSF, NIST SP 800-53, and CIS Controls.</w:t>
      </w:r>
    </w:p>
    <w:p w14:paraId="6A4E44C3" w14:textId="77777777" w:rsidR="00614CC5" w:rsidRDefault="00000000">
      <w:pPr>
        <w:pStyle w:val="Heading2"/>
      </w:pPr>
      <w:r>
        <w:t>5.2 Roles and responsibilities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614CC5" w14:paraId="7CEB8294" w14:textId="77777777">
        <w:tblPrEx>
          <w:tblCellMar>
            <w:top w:w="0" w:type="dxa"/>
            <w:bottom w:w="0" w:type="dxa"/>
          </w:tblCellMar>
        </w:tblPrEx>
        <w:trPr>
          <w:tblHeader/>
        </w:trPr>
        <w:tc>
          <w:tcPr>
            <w:tcW w:w="260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57B0DD3B" w14:textId="77777777" w:rsidR="00614CC5" w:rsidRDefault="00000000">
            <w:r>
              <w:rPr>
                <w:b/>
                <w:bCs/>
                <w:color w:val="FFFFFF"/>
                <w:sz w:val="17"/>
                <w:szCs w:val="17"/>
              </w:rPr>
              <w:t>Role</w:t>
            </w:r>
          </w:p>
        </w:tc>
        <w:tc>
          <w:tcPr>
            <w:tcW w:w="6760" w:type="dxa"/>
            <w:tcBorders>
              <w:top w:val="single" w:sz="1" w:space="0" w:color="C7C7C7"/>
              <w:left w:val="single" w:sz="1" w:space="0" w:color="C7C7C7"/>
              <w:bottom w:val="single" w:sz="1" w:space="0" w:color="C7C7C7"/>
              <w:right w:val="single" w:sz="1" w:space="0" w:color="C7C7C7"/>
            </w:tcBorders>
            <w:shd w:val="clear" w:color="auto" w:fill="1F3864"/>
            <w:tcMar>
              <w:top w:w="45" w:type="dxa"/>
              <w:left w:w="80" w:type="dxa"/>
              <w:bottom w:w="45" w:type="dxa"/>
              <w:right w:w="80" w:type="dxa"/>
            </w:tcMar>
          </w:tcPr>
          <w:p w14:paraId="37240BF5" w14:textId="77777777" w:rsidR="00614CC5" w:rsidRDefault="00000000">
            <w:r>
              <w:rPr>
                <w:b/>
                <w:bCs/>
                <w:color w:val="FFFFFF"/>
                <w:sz w:val="17"/>
                <w:szCs w:val="17"/>
              </w:rPr>
              <w:t>Responsibility</w:t>
            </w:r>
          </w:p>
        </w:tc>
      </w:tr>
      <w:tr w:rsidR="00614CC5" w14:paraId="366F36E0" w14:textId="77777777">
        <w:tblPrEx>
          <w:tblCellMar>
            <w:top w:w="0" w:type="dxa"/>
            <w:bottom w:w="0" w:type="dxa"/>
          </w:tblCellMar>
        </w:tblPrEx>
        <w:tc>
          <w:tcPr>
            <w:tcW w:w="260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71FD5A07" w14:textId="77777777" w:rsidR="00614CC5" w:rsidRDefault="00000000">
            <w:r>
              <w:rPr>
                <w:b/>
                <w:bCs/>
                <w:color w:val="222222"/>
                <w:sz w:val="17"/>
                <w:szCs w:val="17"/>
              </w:rPr>
              <w:t>CISO &amp; executive leadership</w:t>
            </w:r>
          </w:p>
        </w:tc>
        <w:tc>
          <w:tcPr>
            <w:tcW w:w="676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1F73BEE6" w14:textId="77777777" w:rsidR="00614CC5" w:rsidRDefault="00000000">
            <w:r>
              <w:rPr>
                <w:color w:val="222222"/>
                <w:sz w:val="17"/>
                <w:szCs w:val="17"/>
              </w:rPr>
              <w:t>Ultimate accountability for security posture, governance, and resources; approve policy and ensure compliance.</w:t>
            </w:r>
          </w:p>
        </w:tc>
      </w:tr>
      <w:tr w:rsidR="00614CC5" w14:paraId="0F7FE093" w14:textId="77777777">
        <w:tblPrEx>
          <w:tblCellMar>
            <w:top w:w="0" w:type="dxa"/>
            <w:bottom w:w="0" w:type="dxa"/>
          </w:tblCellMar>
        </w:tblPrEx>
        <w:tc>
          <w:tcPr>
            <w:tcW w:w="260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6399077D" w14:textId="77777777" w:rsidR="00614CC5" w:rsidRDefault="00000000">
            <w:r>
              <w:rPr>
                <w:b/>
                <w:bCs/>
                <w:color w:val="222222"/>
                <w:sz w:val="17"/>
                <w:szCs w:val="17"/>
              </w:rPr>
              <w:t>Cybersecurity &amp; IT operations (SecOps)</w:t>
            </w:r>
          </w:p>
        </w:tc>
        <w:tc>
          <w:tcPr>
            <w:tcW w:w="676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00C137A2" w14:textId="77777777" w:rsidR="00614CC5" w:rsidRDefault="00000000">
            <w:r>
              <w:rPr>
                <w:color w:val="222222"/>
                <w:sz w:val="17"/>
                <w:szCs w:val="17"/>
              </w:rPr>
              <w:t>Deploy and run EDR, SIEM, DLP, and MFA; execute patching, segmentation, and automated incident response.</w:t>
            </w:r>
          </w:p>
        </w:tc>
      </w:tr>
      <w:tr w:rsidR="00614CC5" w14:paraId="2FB91A43" w14:textId="77777777">
        <w:tblPrEx>
          <w:tblCellMar>
            <w:top w:w="0" w:type="dxa"/>
            <w:bottom w:w="0" w:type="dxa"/>
          </w:tblCellMar>
        </w:tblPrEx>
        <w:tc>
          <w:tcPr>
            <w:tcW w:w="260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37D72D03" w14:textId="77777777" w:rsidR="00614CC5" w:rsidRDefault="00000000">
            <w:r>
              <w:rPr>
                <w:b/>
                <w:bCs/>
                <w:color w:val="222222"/>
                <w:sz w:val="17"/>
                <w:szCs w:val="17"/>
              </w:rPr>
              <w:t>Data owners &amp; system administrators</w:t>
            </w:r>
          </w:p>
        </w:tc>
        <w:tc>
          <w:tcPr>
            <w:tcW w:w="676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54E6A79D" w14:textId="77777777" w:rsidR="00614CC5" w:rsidRDefault="00000000">
            <w:r>
              <w:rPr>
                <w:color w:val="222222"/>
                <w:sz w:val="17"/>
                <w:szCs w:val="17"/>
              </w:rPr>
              <w:t>Enforce RBAC and least privilege; conduct access reviews, credential monitoring, and backups.</w:t>
            </w:r>
          </w:p>
        </w:tc>
      </w:tr>
      <w:tr w:rsidR="00614CC5" w14:paraId="18ED9DFC" w14:textId="77777777">
        <w:tblPrEx>
          <w:tblCellMar>
            <w:top w:w="0" w:type="dxa"/>
            <w:bottom w:w="0" w:type="dxa"/>
          </w:tblCellMar>
        </w:tblPrEx>
        <w:tc>
          <w:tcPr>
            <w:tcW w:w="260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6B314937" w14:textId="77777777" w:rsidR="00614CC5" w:rsidRDefault="00000000">
            <w:r>
              <w:rPr>
                <w:b/>
                <w:bCs/>
                <w:color w:val="222222"/>
                <w:sz w:val="17"/>
                <w:szCs w:val="17"/>
              </w:rPr>
              <w:t>HR &amp; Legal counsel</w:t>
            </w:r>
          </w:p>
        </w:tc>
        <w:tc>
          <w:tcPr>
            <w:tcW w:w="6760" w:type="dxa"/>
            <w:tcBorders>
              <w:top w:val="single" w:sz="1" w:space="0" w:color="C7C7C7"/>
              <w:left w:val="single" w:sz="1" w:space="0" w:color="C7C7C7"/>
              <w:bottom w:val="single" w:sz="1" w:space="0" w:color="C7C7C7"/>
              <w:right w:val="single" w:sz="1" w:space="0" w:color="C7C7C7"/>
            </w:tcBorders>
            <w:shd w:val="clear" w:color="auto" w:fill="EAF1FB"/>
            <w:tcMar>
              <w:top w:w="45" w:type="dxa"/>
              <w:left w:w="80" w:type="dxa"/>
              <w:bottom w:w="45" w:type="dxa"/>
              <w:right w:w="80" w:type="dxa"/>
            </w:tcMar>
          </w:tcPr>
          <w:p w14:paraId="5CD2AAC1" w14:textId="77777777" w:rsidR="00614CC5" w:rsidRDefault="00000000">
            <w:r>
              <w:rPr>
                <w:color w:val="222222"/>
                <w:sz w:val="17"/>
                <w:szCs w:val="17"/>
              </w:rPr>
              <w:t>Enforce NDAs, background checks, and acceptable-use policies; manage investigations and access revocations.</w:t>
            </w:r>
          </w:p>
        </w:tc>
      </w:tr>
      <w:tr w:rsidR="00614CC5" w14:paraId="2CC79F0E" w14:textId="77777777">
        <w:tblPrEx>
          <w:tblCellMar>
            <w:top w:w="0" w:type="dxa"/>
            <w:bottom w:w="0" w:type="dxa"/>
          </w:tblCellMar>
        </w:tblPrEx>
        <w:tc>
          <w:tcPr>
            <w:tcW w:w="260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6ED2874A" w14:textId="77777777" w:rsidR="00614CC5" w:rsidRDefault="00000000">
            <w:r>
              <w:rPr>
                <w:b/>
                <w:bCs/>
                <w:color w:val="222222"/>
                <w:sz w:val="17"/>
                <w:szCs w:val="17"/>
              </w:rPr>
              <w:t>Workforce (employees &amp; contractors)</w:t>
            </w:r>
          </w:p>
        </w:tc>
        <w:tc>
          <w:tcPr>
            <w:tcW w:w="6760" w:type="dxa"/>
            <w:tcBorders>
              <w:top w:val="single" w:sz="1" w:space="0" w:color="C7C7C7"/>
              <w:left w:val="single" w:sz="1" w:space="0" w:color="C7C7C7"/>
              <w:bottom w:val="single" w:sz="1" w:space="0" w:color="C7C7C7"/>
              <w:right w:val="single" w:sz="1" w:space="0" w:color="C7C7C7"/>
            </w:tcBorders>
            <w:tcMar>
              <w:top w:w="45" w:type="dxa"/>
              <w:left w:w="80" w:type="dxa"/>
              <w:bottom w:w="45" w:type="dxa"/>
              <w:right w:w="80" w:type="dxa"/>
            </w:tcMar>
          </w:tcPr>
          <w:p w14:paraId="1D9D0B4F" w14:textId="77777777" w:rsidR="00614CC5" w:rsidRDefault="00000000">
            <w:r>
              <w:rPr>
                <w:color w:val="222222"/>
                <w:sz w:val="17"/>
                <w:szCs w:val="17"/>
              </w:rPr>
              <w:t>Follow conduct guidelines and password/physical-security rules; promptly report suspicious activity or lost hardware.</w:t>
            </w:r>
          </w:p>
        </w:tc>
      </w:tr>
    </w:tbl>
    <w:p w14:paraId="012DAF43" w14:textId="77777777" w:rsidR="00614CC5" w:rsidRDefault="00000000">
      <w:pPr>
        <w:pStyle w:val="Heading2"/>
      </w:pPr>
      <w:r>
        <w:t>5.3 Compliance with privacy laws</w:t>
      </w:r>
    </w:p>
    <w:p w14:paraId="50A94247" w14:textId="77777777" w:rsidR="00614CC5" w:rsidRDefault="00000000">
      <w:pPr>
        <w:spacing w:after="120" w:line="288" w:lineRule="auto"/>
        <w:jc w:val="both"/>
      </w:pPr>
      <w:r>
        <w:rPr>
          <w:b/>
          <w:bCs/>
        </w:rPr>
        <w:t xml:space="preserve">PIPEDA. </w:t>
      </w:r>
      <w:r>
        <w:t>Applies to the organization’s commercial handling of personal employee and client data across Canada. It must obtain informed consent, limit collection to specified purposes, and protect data with strong encryption (AES-256 at rest, TLS 1.3 in transit). Any breach involving a Real Risk of Significant Harm requires prompt notification to the Privacy Commissioner of Canada and affected individuals.</w:t>
      </w:r>
    </w:p>
    <w:p w14:paraId="08608CB1" w14:textId="77777777" w:rsidR="00614CC5" w:rsidRDefault="00000000">
      <w:pPr>
        <w:spacing w:after="120" w:line="288" w:lineRule="auto"/>
        <w:jc w:val="both"/>
      </w:pPr>
      <w:r>
        <w:rPr>
          <w:b/>
          <w:bCs/>
        </w:rPr>
        <w:t xml:space="preserve">FOIPPA / FIPPA. </w:t>
      </w:r>
      <w:r>
        <w:t>Apply when engaging public-sector, educational, or government clients under provincial privacy law — enforcing data-residency controls, routine Privacy Impact Assessments (PIAs), and detailed audit logging for access to sensitive data in systems like the HRIS.</w:t>
      </w:r>
    </w:p>
    <w:p w14:paraId="7B021AA5" w14:textId="77777777" w:rsidR="00614CC5" w:rsidRDefault="00000000">
      <w:pPr>
        <w:spacing w:after="120" w:line="288" w:lineRule="auto"/>
        <w:jc w:val="both"/>
      </w:pPr>
      <w:r>
        <w:rPr>
          <w:b/>
          <w:bCs/>
        </w:rPr>
        <w:t xml:space="preserve">Practical safeguards: </w:t>
      </w:r>
      <w:r>
        <w:t>data minimization on AST-001/002; mandatory full-disk encryption on all laptops (AST-003/004); and strict RBAC so employees access only what their role requires.</w:t>
      </w:r>
    </w:p>
    <w:p w14:paraId="1AC51C90" w14:textId="77777777" w:rsidR="00614CC5" w:rsidRDefault="00000000">
      <w:pPr>
        <w:pStyle w:val="Heading2"/>
      </w:pPr>
      <w:r>
        <w:t>5.4 Policy review and update mechanism</w:t>
      </w:r>
    </w:p>
    <w:p w14:paraId="16E57417" w14:textId="77777777" w:rsidR="00614CC5" w:rsidRDefault="00000000">
      <w:pPr>
        <w:spacing w:after="120" w:line="288" w:lineRule="auto"/>
        <w:jc w:val="both"/>
      </w:pPr>
      <w:r>
        <w:rPr>
          <w:b/>
          <w:bCs/>
        </w:rPr>
        <w:t xml:space="preserve">Annual review </w:t>
      </w:r>
      <w:r>
        <w:t xml:space="preserve">every 12 months by SecOps, Legal, and HR governance. </w:t>
      </w:r>
      <w:r>
        <w:rPr>
          <w:b/>
          <w:bCs/>
        </w:rPr>
        <w:t xml:space="preserve">Event-triggered reviews </w:t>
      </w:r>
      <w:r>
        <w:t>follow any major incident, substantial architecture change (e.g., cloud migration or new AI deployment), or legislative amendment to PIPEDA / FOIPPA / FIPPA.</w:t>
      </w:r>
    </w:p>
    <w:p w14:paraId="7BA35D89" w14:textId="77777777" w:rsidR="00614CC5" w:rsidRDefault="00000000">
      <w:pPr>
        <w:spacing w:after="120" w:line="288" w:lineRule="auto"/>
        <w:jc w:val="both"/>
      </w:pPr>
      <w:r>
        <w:rPr>
          <w:b/>
          <w:bCs/>
        </w:rPr>
        <w:lastRenderedPageBreak/>
        <w:t xml:space="preserve">Continuous improvement: </w:t>
      </w:r>
      <w:r>
        <w:t>analyse SIEM/UEBA logs, penetration tests, and vulnerability scans to find gaps; draft revisions with IT, Legal, and HR for CISO approval; and roll out updated versions (e.g., v1.1, v2.0) with mandatory awareness training.</w:t>
      </w:r>
    </w:p>
    <w:p w14:paraId="4548400A" w14:textId="77777777" w:rsidR="00614CC5" w:rsidRDefault="00000000">
      <w:pPr>
        <w:pStyle w:val="Heading1"/>
      </w:pPr>
      <w:bookmarkStart w:id="7" w:name="_Toc235738916"/>
      <w:r>
        <w:t>6. Conclusion &amp; Recommendations</w:t>
      </w:r>
      <w:bookmarkEnd w:id="7"/>
    </w:p>
    <w:p w14:paraId="7FCD8F6E" w14:textId="77777777" w:rsidR="00614CC5" w:rsidRDefault="00000000">
      <w:pPr>
        <w:spacing w:after="120" w:line="288" w:lineRule="auto"/>
        <w:jc w:val="both"/>
      </w:pPr>
      <w:r>
        <w:t>Current exposure is High, driven by ransomware and credential risks to core systems, endpoint phishing/malware, and the value of the AI research IP. A focused, phased program reduces this materially while supporting privacy-law compliance.</w:t>
      </w:r>
    </w:p>
    <w:p w14:paraId="0C0459F6" w14:textId="77777777" w:rsidR="00614CC5" w:rsidRDefault="00000000">
      <w:pPr>
        <w:pStyle w:val="ListParagraph"/>
        <w:numPr>
          <w:ilvl w:val="0"/>
          <w:numId w:val="3"/>
        </w:numPr>
        <w:spacing w:after="50" w:line="280" w:lineRule="auto"/>
      </w:pPr>
      <w:r>
        <w:rPr>
          <w:b/>
          <w:bCs/>
        </w:rPr>
        <w:t xml:space="preserve">Phase 1 (0–3 months): </w:t>
      </w:r>
      <w:r>
        <w:t>enforce mandatory MFA/SSO and RBAC reviews, and establish immutable, tested offline backups.</w:t>
      </w:r>
    </w:p>
    <w:p w14:paraId="1DFBF488" w14:textId="77777777" w:rsidR="00614CC5" w:rsidRDefault="00000000">
      <w:pPr>
        <w:pStyle w:val="ListParagraph"/>
        <w:numPr>
          <w:ilvl w:val="0"/>
          <w:numId w:val="3"/>
        </w:numPr>
        <w:spacing w:after="50" w:line="280" w:lineRule="auto"/>
      </w:pPr>
      <w:r>
        <w:rPr>
          <w:b/>
          <w:bCs/>
        </w:rPr>
        <w:t xml:space="preserve">Phase 2 (3–6 months): </w:t>
      </w:r>
      <w:r>
        <w:t>deploy automated patching, revoke local-admin rights, roll out EDR/SIEM monitoring, and segment the network.</w:t>
      </w:r>
    </w:p>
    <w:p w14:paraId="65E0C7CA" w14:textId="77777777" w:rsidR="00614CC5" w:rsidRDefault="00000000">
      <w:pPr>
        <w:pStyle w:val="ListParagraph"/>
        <w:numPr>
          <w:ilvl w:val="0"/>
          <w:numId w:val="3"/>
        </w:numPr>
        <w:spacing w:after="50" w:line="280" w:lineRule="auto"/>
      </w:pPr>
      <w:r>
        <w:rPr>
          <w:b/>
          <w:bCs/>
        </w:rPr>
        <w:t xml:space="preserve">Phase 3 (6–12 months): </w:t>
      </w:r>
      <w:r>
        <w:t>add DLP and data classification for AI research, simulated-phishing training, and continuous compliance review.</w:t>
      </w:r>
    </w:p>
    <w:p w14:paraId="7B5D8E09" w14:textId="77777777" w:rsidR="00614CC5" w:rsidRDefault="00000000">
      <w:pPr>
        <w:spacing w:after="120" w:line="288" w:lineRule="auto"/>
        <w:jc w:val="both"/>
      </w:pPr>
      <w:r>
        <w:t xml:space="preserve">After these measures, the risk register shows residual risk reduced to </w:t>
      </w:r>
      <w:r>
        <w:rPr>
          <w:b/>
          <w:bCs/>
        </w:rPr>
        <w:t>Low–Medium</w:t>
      </w:r>
      <w:r>
        <w:t xml:space="preserve"> across all major risks. Risk management is continuous: the program should be governed by the CISO, tested regularly, and reviewed after any significant change.</w:t>
      </w:r>
    </w:p>
    <w:p w14:paraId="4F1EE08F" w14:textId="77777777" w:rsidR="00614CC5" w:rsidRDefault="00000000">
      <w:pPr>
        <w:pStyle w:val="Heading1"/>
      </w:pPr>
      <w:bookmarkStart w:id="8" w:name="_Toc235738917"/>
      <w:r>
        <w:t>References</w:t>
      </w:r>
      <w:bookmarkEnd w:id="8"/>
    </w:p>
    <w:p w14:paraId="6E99C05D" w14:textId="77777777" w:rsidR="00614CC5" w:rsidRDefault="00000000">
      <w:pPr>
        <w:spacing w:after="90" w:line="274" w:lineRule="auto"/>
        <w:ind w:left="360" w:hanging="360"/>
      </w:pPr>
      <w:r>
        <w:rPr>
          <w:sz w:val="19"/>
          <w:szCs w:val="19"/>
        </w:rPr>
        <w:t>Center for Internet Security. (2021). CIS Critical Security Controls (v8). Center for Internet Security.</w:t>
      </w:r>
    </w:p>
    <w:p w14:paraId="1B7597A3" w14:textId="77777777" w:rsidR="00614CC5" w:rsidRDefault="00000000">
      <w:pPr>
        <w:spacing w:after="90" w:line="274" w:lineRule="auto"/>
        <w:ind w:left="360" w:hanging="360"/>
      </w:pPr>
      <w:r>
        <w:rPr>
          <w:sz w:val="19"/>
          <w:szCs w:val="19"/>
        </w:rPr>
        <w:t>Government of British Columbia. Freedom of Information and Protection of Privacy Act (FOIPPA/FIPPA).</w:t>
      </w:r>
    </w:p>
    <w:p w14:paraId="0947189E" w14:textId="77777777" w:rsidR="00614CC5" w:rsidRDefault="00000000">
      <w:pPr>
        <w:spacing w:after="90" w:line="274" w:lineRule="auto"/>
        <w:ind w:left="360" w:hanging="360"/>
      </w:pPr>
      <w:r>
        <w:rPr>
          <w:sz w:val="19"/>
          <w:szCs w:val="19"/>
        </w:rPr>
        <w:t>Government of Canada. (2019). Personal Information Protection and Electronic Documents Act (PIPEDA). Office of the Privacy Commissioner of Canada.</w:t>
      </w:r>
    </w:p>
    <w:p w14:paraId="0788150E" w14:textId="77777777" w:rsidR="00614CC5" w:rsidRDefault="00000000">
      <w:pPr>
        <w:spacing w:after="90" w:line="274" w:lineRule="auto"/>
        <w:ind w:left="360" w:hanging="360"/>
      </w:pPr>
      <w:r>
        <w:rPr>
          <w:sz w:val="19"/>
          <w:szCs w:val="19"/>
        </w:rPr>
        <w:t>International Organization for Standardization. (2022). ISO/IEC 27001; 27002; 27005. ISO.</w:t>
      </w:r>
    </w:p>
    <w:p w14:paraId="0A9C81A5" w14:textId="77777777" w:rsidR="00614CC5" w:rsidRDefault="00000000">
      <w:pPr>
        <w:spacing w:after="90" w:line="274" w:lineRule="auto"/>
        <w:ind w:left="360" w:hanging="360"/>
      </w:pPr>
      <w:r>
        <w:rPr>
          <w:sz w:val="19"/>
          <w:szCs w:val="19"/>
        </w:rPr>
        <w:t xml:space="preserve">National Institute of Standards and Technology. (2018). Framework for Improving Critical Infrastructure Cybersecurity (NIST CSF). U.S. </w:t>
      </w:r>
      <w:proofErr w:type="spellStart"/>
      <w:r>
        <w:rPr>
          <w:sz w:val="19"/>
          <w:szCs w:val="19"/>
        </w:rPr>
        <w:t>DoC.</w:t>
      </w:r>
      <w:proofErr w:type="spellEnd"/>
    </w:p>
    <w:p w14:paraId="31265C54" w14:textId="77777777" w:rsidR="00614CC5" w:rsidRDefault="00000000">
      <w:pPr>
        <w:spacing w:after="90" w:line="274" w:lineRule="auto"/>
        <w:ind w:left="360" w:hanging="360"/>
      </w:pPr>
      <w:r>
        <w:rPr>
          <w:sz w:val="19"/>
          <w:szCs w:val="19"/>
        </w:rPr>
        <w:t xml:space="preserve">National Institute of Standards and Technology. (2012; 2020). NIST SP 800-30 Rev.1; NIST SP 800-53 Rev.5. U.S. </w:t>
      </w:r>
      <w:proofErr w:type="spellStart"/>
      <w:r>
        <w:rPr>
          <w:sz w:val="19"/>
          <w:szCs w:val="19"/>
        </w:rPr>
        <w:t>DoC.</w:t>
      </w:r>
      <w:proofErr w:type="spellEnd"/>
    </w:p>
    <w:p w14:paraId="27B0BDA3" w14:textId="77777777" w:rsidR="00614CC5" w:rsidRDefault="00000000">
      <w:pPr>
        <w:spacing w:before="150"/>
      </w:pPr>
      <w:r>
        <w:rPr>
          <w:i/>
          <w:iCs/>
        </w:rPr>
        <w:t>Academic exercise modeled on a large enterprise; illustrative data. Prepared in line with institutional academic-integrity and citation policies.</w:t>
      </w:r>
    </w:p>
    <w:sectPr w:rsidR="00614CC5">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DBC225A" w14:textId="77777777" w:rsidR="00193C99" w:rsidRDefault="00193C99">
      <w:r>
        <w:separator/>
      </w:r>
    </w:p>
  </w:endnote>
  <w:endnote w:type="continuationSeparator" w:id="0">
    <w:p w14:paraId="7342633F" w14:textId="77777777" w:rsidR="00193C99" w:rsidRDefault="0019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2A8B3EB" w14:textId="77777777" w:rsidR="00614CC5" w:rsidRDefault="00000000">
    <w:pPr>
      <w:pBdr>
        <w:top w:val="single" w:sz="4" w:space="2" w:color="BFBFBF"/>
      </w:pBdr>
      <w:tabs>
        <w:tab w:val="right" w:pos="9360"/>
      </w:tabs>
    </w:pPr>
    <w:r>
      <w:rPr>
        <w:color w:val="6B6B6B"/>
        <w:sz w:val="15"/>
        <w:szCs w:val="15"/>
      </w:rPr>
      <w:t>Academic exercise</w:t>
    </w:r>
    <w:r>
      <w:rPr>
        <w:color w:val="6B6B6B"/>
        <w:sz w:val="15"/>
        <w:szCs w:val="15"/>
      </w:rPr>
      <w:tab/>
      <w:t xml:space="preserve">Page </w:t>
    </w:r>
    <w:r>
      <w:rPr>
        <w:color w:val="6B6B6B"/>
        <w:sz w:val="15"/>
        <w:szCs w:val="15"/>
      </w:rPr>
      <w:fldChar w:fldCharType="begin"/>
    </w:r>
    <w:r>
      <w:rPr>
        <w:color w:val="6B6B6B"/>
        <w:sz w:val="15"/>
        <w:szCs w:val="15"/>
      </w:rPr>
      <w:instrText>PAGE</w:instrText>
    </w:r>
    <w:r>
      <w:rPr>
        <w:color w:val="6B6B6B"/>
        <w:sz w:val="15"/>
        <w:szCs w:val="15"/>
      </w:rPr>
      <w:fldChar w:fldCharType="separate"/>
    </w:r>
    <w:r w:rsidR="00515365">
      <w:rPr>
        <w:noProof/>
        <w:color w:val="6B6B6B"/>
        <w:sz w:val="15"/>
        <w:szCs w:val="15"/>
      </w:rPr>
      <w:t>1</w:t>
    </w:r>
    <w:r>
      <w:rPr>
        <w:color w:val="6B6B6B"/>
        <w:sz w:val="15"/>
        <w:szCs w:val="15"/>
      </w:rPr>
      <w:fldChar w:fldCharType="end"/>
    </w:r>
    <w:r>
      <w:rPr>
        <w:color w:val="6B6B6B"/>
        <w:sz w:val="15"/>
        <w:szCs w:val="15"/>
      </w:rPr>
      <w:t xml:space="preserve"> of </w:t>
    </w:r>
    <w:r>
      <w:rPr>
        <w:color w:val="6B6B6B"/>
        <w:sz w:val="15"/>
        <w:szCs w:val="15"/>
      </w:rPr>
      <w:fldChar w:fldCharType="begin"/>
    </w:r>
    <w:r>
      <w:rPr>
        <w:color w:val="6B6B6B"/>
        <w:sz w:val="15"/>
        <w:szCs w:val="15"/>
      </w:rPr>
      <w:instrText>NUMPAGES</w:instrText>
    </w:r>
    <w:r>
      <w:rPr>
        <w:color w:val="6B6B6B"/>
        <w:sz w:val="15"/>
        <w:szCs w:val="15"/>
      </w:rPr>
      <w:fldChar w:fldCharType="separate"/>
    </w:r>
    <w:r w:rsidR="00515365">
      <w:rPr>
        <w:noProof/>
        <w:color w:val="6B6B6B"/>
        <w:sz w:val="15"/>
        <w:szCs w:val="15"/>
      </w:rPr>
      <w:t>2</w:t>
    </w:r>
    <w:r>
      <w:rPr>
        <w:color w:val="6B6B6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147A76A" w14:textId="77777777" w:rsidR="00193C99" w:rsidRDefault="00193C99">
      <w:r>
        <w:separator/>
      </w:r>
    </w:p>
  </w:footnote>
  <w:footnote w:type="continuationSeparator" w:id="0">
    <w:p w14:paraId="2D18C3CD" w14:textId="77777777" w:rsidR="00193C99" w:rsidRDefault="00193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36FD0D9" w14:textId="68E27B56" w:rsidR="00614CC5" w:rsidRDefault="00000000">
    <w:pPr>
      <w:pBdr>
        <w:bottom w:val="single" w:sz="4" w:space="2" w:color="BFBFBF"/>
      </w:pBdr>
      <w:jc w:val="right"/>
    </w:pPr>
    <w:r>
      <w:rPr>
        <w:color w:val="6B6B6B"/>
        <w:sz w:val="15"/>
        <w:szCs w:val="15"/>
      </w:rPr>
      <w:t xml:space="preserve">Information Risk Management 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31E7A3B"/>
    <w:multiLevelType w:val="hybridMultilevel"/>
    <w:tmpl w:val="18166FC8"/>
    <w:lvl w:ilvl="0" w:tplc="B368090E">
      <w:start w:val="1"/>
      <w:numFmt w:val="decimal"/>
      <w:lvlText w:val="%1."/>
      <w:lvlJc w:val="left"/>
      <w:pPr>
        <w:ind w:left="560" w:hanging="280"/>
      </w:pPr>
    </w:lvl>
    <w:lvl w:ilvl="1" w:tplc="BFD4D74A">
      <w:numFmt w:val="decimal"/>
      <w:lvlText w:val=""/>
      <w:lvlJc w:val="left"/>
    </w:lvl>
    <w:lvl w:ilvl="2" w:tplc="BC884534">
      <w:numFmt w:val="decimal"/>
      <w:lvlText w:val=""/>
      <w:lvlJc w:val="left"/>
    </w:lvl>
    <w:lvl w:ilvl="3" w:tplc="63FC261E">
      <w:numFmt w:val="decimal"/>
      <w:lvlText w:val=""/>
      <w:lvlJc w:val="left"/>
    </w:lvl>
    <w:lvl w:ilvl="4" w:tplc="936E5500">
      <w:numFmt w:val="decimal"/>
      <w:lvlText w:val=""/>
      <w:lvlJc w:val="left"/>
    </w:lvl>
    <w:lvl w:ilvl="5" w:tplc="33968EBC">
      <w:numFmt w:val="decimal"/>
      <w:lvlText w:val=""/>
      <w:lvlJc w:val="left"/>
    </w:lvl>
    <w:lvl w:ilvl="6" w:tplc="5C06A4A8">
      <w:numFmt w:val="decimal"/>
      <w:lvlText w:val=""/>
      <w:lvlJc w:val="left"/>
    </w:lvl>
    <w:lvl w:ilvl="7" w:tplc="66ECDDE8">
      <w:numFmt w:val="decimal"/>
      <w:lvlText w:val=""/>
      <w:lvlJc w:val="left"/>
    </w:lvl>
    <w:lvl w:ilvl="8" w:tplc="99443590">
      <w:numFmt w:val="decimal"/>
      <w:lvlText w:val=""/>
      <w:lvlJc w:val="left"/>
    </w:lvl>
  </w:abstractNum>
  <w:abstractNum w:abstractNumId="1" w15:restartNumberingAfterBreak="0">
    <w:nsid w:val="547F4A05"/>
    <w:multiLevelType w:val="hybridMultilevel"/>
    <w:tmpl w:val="C2E67F3E"/>
    <w:lvl w:ilvl="0" w:tplc="D90C1CB4">
      <w:start w:val="1"/>
      <w:numFmt w:val="bullet"/>
      <w:lvlText w:val="•"/>
      <w:lvlJc w:val="left"/>
      <w:pPr>
        <w:ind w:left="560" w:hanging="280"/>
      </w:pPr>
    </w:lvl>
    <w:lvl w:ilvl="1" w:tplc="7DF466AE">
      <w:numFmt w:val="decimal"/>
      <w:lvlText w:val=""/>
      <w:lvlJc w:val="left"/>
    </w:lvl>
    <w:lvl w:ilvl="2" w:tplc="7E90C2B8">
      <w:numFmt w:val="decimal"/>
      <w:lvlText w:val=""/>
      <w:lvlJc w:val="left"/>
    </w:lvl>
    <w:lvl w:ilvl="3" w:tplc="A906F4F0">
      <w:numFmt w:val="decimal"/>
      <w:lvlText w:val=""/>
      <w:lvlJc w:val="left"/>
    </w:lvl>
    <w:lvl w:ilvl="4" w:tplc="29FE5A00">
      <w:numFmt w:val="decimal"/>
      <w:lvlText w:val=""/>
      <w:lvlJc w:val="left"/>
    </w:lvl>
    <w:lvl w:ilvl="5" w:tplc="03FC36AA">
      <w:numFmt w:val="decimal"/>
      <w:lvlText w:val=""/>
      <w:lvlJc w:val="left"/>
    </w:lvl>
    <w:lvl w:ilvl="6" w:tplc="7876C6B6">
      <w:numFmt w:val="decimal"/>
      <w:lvlText w:val=""/>
      <w:lvlJc w:val="left"/>
    </w:lvl>
    <w:lvl w:ilvl="7" w:tplc="A8D8E252">
      <w:numFmt w:val="decimal"/>
      <w:lvlText w:val=""/>
      <w:lvlJc w:val="left"/>
    </w:lvl>
    <w:lvl w:ilvl="8" w:tplc="E3F00E9C">
      <w:numFmt w:val="decimal"/>
      <w:lvlText w:val=""/>
      <w:lvlJc w:val="left"/>
    </w:lvl>
  </w:abstractNum>
  <w:abstractNum w:abstractNumId="2" w15:restartNumberingAfterBreak="0">
    <w:nsid w:val="7C813F34"/>
    <w:multiLevelType w:val="hybridMultilevel"/>
    <w:tmpl w:val="D07E2FC4"/>
    <w:lvl w:ilvl="0" w:tplc="EF9A76E8">
      <w:start w:val="1"/>
      <w:numFmt w:val="bullet"/>
      <w:lvlText w:val="●"/>
      <w:lvlJc w:val="left"/>
      <w:pPr>
        <w:ind w:left="720" w:hanging="360"/>
      </w:pPr>
    </w:lvl>
    <w:lvl w:ilvl="1" w:tplc="4468B27C">
      <w:start w:val="1"/>
      <w:numFmt w:val="bullet"/>
      <w:lvlText w:val="○"/>
      <w:lvlJc w:val="left"/>
      <w:pPr>
        <w:ind w:left="1440" w:hanging="360"/>
      </w:pPr>
    </w:lvl>
    <w:lvl w:ilvl="2" w:tplc="CC649B6A">
      <w:start w:val="1"/>
      <w:numFmt w:val="bullet"/>
      <w:lvlText w:val="■"/>
      <w:lvlJc w:val="left"/>
      <w:pPr>
        <w:ind w:left="2160" w:hanging="360"/>
      </w:pPr>
    </w:lvl>
    <w:lvl w:ilvl="3" w:tplc="D62C0272">
      <w:start w:val="1"/>
      <w:numFmt w:val="bullet"/>
      <w:lvlText w:val="●"/>
      <w:lvlJc w:val="left"/>
      <w:pPr>
        <w:ind w:left="2880" w:hanging="360"/>
      </w:pPr>
    </w:lvl>
    <w:lvl w:ilvl="4" w:tplc="1224551C">
      <w:start w:val="1"/>
      <w:numFmt w:val="bullet"/>
      <w:lvlText w:val="○"/>
      <w:lvlJc w:val="left"/>
      <w:pPr>
        <w:ind w:left="3600" w:hanging="360"/>
      </w:pPr>
    </w:lvl>
    <w:lvl w:ilvl="5" w:tplc="757A2A2A">
      <w:start w:val="1"/>
      <w:numFmt w:val="bullet"/>
      <w:lvlText w:val="■"/>
      <w:lvlJc w:val="left"/>
      <w:pPr>
        <w:ind w:left="4320" w:hanging="360"/>
      </w:pPr>
    </w:lvl>
    <w:lvl w:ilvl="6" w:tplc="D904E90C">
      <w:start w:val="1"/>
      <w:numFmt w:val="bullet"/>
      <w:lvlText w:val="●"/>
      <w:lvlJc w:val="left"/>
      <w:pPr>
        <w:ind w:left="5040" w:hanging="360"/>
      </w:pPr>
    </w:lvl>
    <w:lvl w:ilvl="7" w:tplc="2334EA1A">
      <w:start w:val="1"/>
      <w:numFmt w:val="bullet"/>
      <w:lvlText w:val="●"/>
      <w:lvlJc w:val="left"/>
      <w:pPr>
        <w:ind w:left="5760" w:hanging="360"/>
      </w:pPr>
    </w:lvl>
    <w:lvl w:ilvl="8" w:tplc="794CEFBE">
      <w:start w:val="1"/>
      <w:numFmt w:val="bullet"/>
      <w:lvlText w:val="●"/>
      <w:lvlJc w:val="left"/>
      <w:pPr>
        <w:ind w:left="6480" w:hanging="360"/>
      </w:pPr>
    </w:lvl>
  </w:abstractNum>
  <w:num w:numId="1" w16cid:durableId="1165584834">
    <w:abstractNumId w:val="2"/>
    <w:lvlOverride w:ilvl="0">
      <w:startOverride w:val="1"/>
    </w:lvlOverride>
  </w:num>
  <w:num w:numId="2" w16cid:durableId="905072865">
    <w:abstractNumId w:val="1"/>
    <w:lvlOverride w:ilvl="0">
      <w:startOverride w:val="1"/>
    </w:lvlOverride>
  </w:num>
  <w:num w:numId="3" w16cid:durableId="1766851083">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CC5"/>
    <w:rsid w:val="00193C99"/>
    <w:rsid w:val="00515365"/>
    <w:rsid w:val="00614CC5"/>
    <w:rsid w:val="00CA4A4B"/>
    <w:rsid w:val="00E127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711E98F"/>
  <w15:docId w15:val="{C8EC68CF-94DC-E743-A2CD-55E71E6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1"/>
        <w:szCs w:val="21"/>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6" w:space="3" w:color="2E75B6"/>
      </w:pBdr>
      <w:spacing w:before="240" w:after="120"/>
      <w:outlineLvl w:val="0"/>
    </w:pPr>
    <w:rPr>
      <w:b/>
      <w:bCs/>
      <w:color w:val="1F3864"/>
      <w:sz w:val="27"/>
      <w:szCs w:val="27"/>
    </w:rPr>
  </w:style>
  <w:style w:type="paragraph" w:styleId="Heading2">
    <w:name w:val="heading 2"/>
    <w:uiPriority w:val="9"/>
    <w:unhideWhenUsed/>
    <w:qFormat/>
    <w:pPr>
      <w:spacing w:before="160" w:after="60"/>
      <w:outlineLvl w:val="1"/>
    </w:pPr>
    <w:rPr>
      <w:b/>
      <w:bCs/>
      <w:color w:val="2E75B6"/>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515365"/>
    <w:pPr>
      <w:spacing w:after="100"/>
    </w:pPr>
  </w:style>
  <w:style w:type="paragraph" w:styleId="Header">
    <w:name w:val="header"/>
    <w:basedOn w:val="Normal"/>
    <w:link w:val="HeaderChar"/>
    <w:uiPriority w:val="99"/>
    <w:unhideWhenUsed/>
    <w:rsid w:val="00515365"/>
    <w:pPr>
      <w:tabs>
        <w:tab w:val="center" w:pos="4680"/>
        <w:tab w:val="right" w:pos="9360"/>
      </w:tabs>
    </w:pPr>
  </w:style>
  <w:style w:type="character" w:customStyle="1" w:styleId="HeaderChar">
    <w:name w:val="Header Char"/>
    <w:basedOn w:val="DefaultParagraphFont"/>
    <w:link w:val="Header"/>
    <w:uiPriority w:val="99"/>
    <w:rsid w:val="00515365"/>
  </w:style>
  <w:style w:type="paragraph" w:styleId="Footer">
    <w:name w:val="footer"/>
    <w:basedOn w:val="Normal"/>
    <w:link w:val="FooterChar"/>
    <w:uiPriority w:val="99"/>
    <w:unhideWhenUsed/>
    <w:rsid w:val="00515365"/>
    <w:pPr>
      <w:tabs>
        <w:tab w:val="center" w:pos="4680"/>
        <w:tab w:val="right" w:pos="9360"/>
      </w:tabs>
    </w:pPr>
  </w:style>
  <w:style w:type="character" w:customStyle="1" w:styleId="FooterChar">
    <w:name w:val="Footer Char"/>
    <w:basedOn w:val="DefaultParagraphFont"/>
    <w:link w:val="Footer"/>
    <w:uiPriority w:val="99"/>
    <w:rsid w:val="00515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2243</Words>
  <Characters>13640</Characters>
  <Application>Microsoft Office Word</Application>
  <DocSecurity>0</DocSecurity>
  <Lines>426</Lines>
  <Paragraphs>324</Paragraphs>
  <ScaleCrop>false</ScaleCrop>
  <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Risk Management Plan — Practical Work 3</dc:title>
  <dc:creator>Academic exercise</dc:creator>
  <cp:lastModifiedBy>Nishan singh</cp:lastModifiedBy>
  <cp:revision>2</cp:revision>
  <dcterms:created xsi:type="dcterms:W3CDTF">2026-07-24T05:50:00Z</dcterms:created>
  <dcterms:modified xsi:type="dcterms:W3CDTF">2026-07-24T05:50:00Z</dcterms:modified>
</cp:coreProperties>
</file>